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6Abstract"/>
        <w:spacing w:after="0" w:line="240" w:lineRule="auto"/>
        <w:jc w:val="center"/>
        <w:rPr>
          <w:rFonts w:ascii="Garamond" w:hAnsi="Garamond"/>
          <w:b/>
          <w:sz w:val="72"/>
          <w:szCs w:val="72"/>
          <w:lang w:val="en-GB"/>
        </w:rPr>
      </w:pPr>
      <w:r>
        <w:rPr>
          <w:rFonts w:ascii="Garamond" w:hAnsi="Garamond"/>
          <w:b/>
          <w:sz w:val="72"/>
          <w:szCs w:val="72"/>
          <w:lang w:val="en-GB"/>
        </w:rPr>
        <w:t>Highfield CE Primary School</w:t>
      </w:r>
    </w:p>
    <w:p>
      <w:pPr>
        <w:pStyle w:val="3Policytitle"/>
        <w:spacing w:after="0"/>
        <w:jc w:val="center"/>
        <w:rPr>
          <w:rFonts w:ascii="Garamond" w:hAnsi="Garamond" w:cs="Tahoma"/>
          <w:bCs/>
          <w:szCs w:val="72"/>
        </w:rPr>
      </w:pPr>
      <w:r>
        <w:rPr>
          <w:rFonts w:ascii="Garamond" w:hAnsi="Garamond" w:cs="Tahoma"/>
          <w:bCs/>
          <w:szCs w:val="72"/>
        </w:rPr>
        <w:t>Safeguarding Policy</w:t>
      </w:r>
    </w:p>
    <w:p>
      <w:pPr>
        <w:pStyle w:val="3Policytitle"/>
        <w:spacing w:after="0"/>
        <w:jc w:val="center"/>
        <w:rPr>
          <w:rFonts w:ascii="Garamond" w:hAnsi="Garamond" w:cs="Calibri"/>
          <w:szCs w:val="72"/>
          <w:lang w:val="en-GB"/>
        </w:rPr>
      </w:pPr>
      <w:r>
        <w:rPr>
          <w:rFonts w:ascii="Garamond" w:hAnsi="Garamond" w:cs="Calibri"/>
          <w:szCs w:val="72"/>
          <w:lang w:val="en-GB"/>
        </w:rPr>
        <w:t>2025 – 2026</w:t>
      </w:r>
    </w:p>
    <w:p>
      <w:pPr>
        <w:pStyle w:val="3Policytitle"/>
        <w:spacing w:after="0"/>
        <w:jc w:val="center"/>
        <w:rPr>
          <w:rFonts w:ascii="Garamond" w:hAnsi="Garamond" w:cs="Calibri"/>
          <w:szCs w:val="72"/>
          <w:lang w:val="en-GB"/>
        </w:rPr>
      </w:pPr>
      <w:r>
        <w:rPr>
          <w:noProof/>
        </w:rPr>
        <w:drawing>
          <wp:anchor distT="0" distB="0" distL="114300" distR="114300" simplePos="0" relativeHeight="251659264" behindDoc="1" locked="0" layoutInCell="1" allowOverlap="1">
            <wp:simplePos x="0" y="0"/>
            <wp:positionH relativeFrom="column">
              <wp:posOffset>1818640</wp:posOffset>
            </wp:positionH>
            <wp:positionV relativeFrom="paragraph">
              <wp:posOffset>530225</wp:posOffset>
            </wp:positionV>
            <wp:extent cx="2990215" cy="3745865"/>
            <wp:effectExtent l="0" t="0" r="635" b="6985"/>
            <wp:wrapTight wrapText="bothSides">
              <wp:wrapPolygon edited="0">
                <wp:start x="0" y="0"/>
                <wp:lineTo x="0" y="21530"/>
                <wp:lineTo x="21467" y="21530"/>
                <wp:lineTo x="21467" y="0"/>
                <wp:lineTo x="0" y="0"/>
              </wp:wrapPolygon>
            </wp:wrapTight>
            <wp:docPr id="1" name="Picture 1" descr="Highfield logo black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ghfield logo blackwhi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0215" cy="3745865"/>
                    </a:xfrm>
                    <a:prstGeom prst="rect">
                      <a:avLst/>
                    </a:prstGeom>
                    <a:noFill/>
                    <a:ln>
                      <a:noFill/>
                    </a:ln>
                  </pic:spPr>
                </pic:pic>
              </a:graphicData>
            </a:graphic>
            <wp14:sizeRelH relativeFrom="page">
              <wp14:pctWidth>0</wp14:pctWidth>
            </wp14:sizeRelH>
            <wp14:sizeRelV relativeFrom="page">
              <wp14:pctHeight>0</wp14:pctHeight>
            </wp14:sizeRelV>
          </wp:anchor>
        </w:drawing>
      </w:r>
    </w:p>
    <w:p>
      <w:pPr>
        <w:pStyle w:val="3Policytitle"/>
        <w:spacing w:after="0"/>
        <w:jc w:val="center"/>
        <w:rPr>
          <w:rFonts w:ascii="Garamond" w:hAnsi="Garamond" w:cs="Calibri"/>
          <w:szCs w:val="72"/>
          <w:lang w:val="en-GB"/>
        </w:rPr>
      </w:pPr>
    </w:p>
    <w:p>
      <w:pPr>
        <w:pStyle w:val="1bodycopy10pt"/>
        <w:spacing w:after="0"/>
        <w:rPr>
          <w:lang w:val="en-GB"/>
        </w:rPr>
      </w:pPr>
    </w:p>
    <w:p>
      <w:pPr>
        <w:pStyle w:val="1bodycopy10pt"/>
        <w:spacing w:after="0"/>
        <w:jc w:val="center"/>
        <w:rPr>
          <w:noProof/>
          <w:color w:val="00CF80"/>
          <w:szCs w:val="20"/>
          <w:lang w:val="en-GB"/>
        </w:rPr>
      </w:pPr>
    </w:p>
    <w:p>
      <w:pPr>
        <w:pStyle w:val="1bodycopy10pt"/>
        <w:spacing w:after="0"/>
        <w:jc w:val="center"/>
        <w:rPr>
          <w:noProof/>
          <w:color w:val="00CF80"/>
          <w:szCs w:val="20"/>
          <w:lang w:val="en-GB"/>
        </w:rPr>
      </w:pPr>
    </w:p>
    <w:p>
      <w:pPr>
        <w:pStyle w:val="1bodycopy10pt"/>
        <w:spacing w:after="0"/>
        <w:jc w:val="center"/>
        <w:rPr>
          <w:noProof/>
          <w:color w:val="00CF80"/>
          <w:szCs w:val="20"/>
          <w:lang w:val="en-GB"/>
        </w:rPr>
      </w:pPr>
    </w:p>
    <w:p>
      <w:pPr>
        <w:pStyle w:val="1bodycopy10pt"/>
        <w:spacing w:after="0"/>
        <w:jc w:val="center"/>
        <w:rPr>
          <w:noProof/>
          <w:color w:val="00CF80"/>
          <w:szCs w:val="20"/>
          <w:lang w:val="en-GB"/>
        </w:rPr>
      </w:pPr>
    </w:p>
    <w:p>
      <w:pPr>
        <w:rPr>
          <w:b/>
        </w:rPr>
      </w:pPr>
    </w:p>
    <w:p>
      <w:pPr>
        <w:pStyle w:val="1bodycopy10pt"/>
        <w:spacing w:after="0"/>
        <w:rPr>
          <w:rFonts w:ascii="Calibri" w:hAnsi="Calibri" w:cs="Calibri"/>
          <w:lang w:val="en-GB"/>
        </w:rPr>
      </w:pPr>
    </w:p>
    <w:tbl>
      <w:tblPr>
        <w:tblpPr w:leftFromText="180" w:rightFromText="180" w:vertAnchor="page" w:horzAnchor="margin" w:tblpXSpec="center" w:tblpY="13042"/>
        <w:tblW w:w="10173"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3085"/>
        <w:gridCol w:w="3512"/>
        <w:gridCol w:w="3576"/>
      </w:tblGrid>
      <w:tr>
        <w:trPr>
          <w:trHeight w:val="567"/>
        </w:trPr>
        <w:tc>
          <w:tcPr>
            <w:tcW w:w="3085" w:type="dxa"/>
            <w:tcBorders>
              <w:top w:val="nil"/>
              <w:bottom w:val="single" w:sz="18" w:space="0" w:color="FFFFFF"/>
            </w:tcBorders>
            <w:shd w:val="clear" w:color="auto" w:fill="D8DFDE"/>
            <w:vAlign w:val="center"/>
          </w:tcPr>
          <w:p>
            <w:pPr>
              <w:pStyle w:val="1bodycopy10pt"/>
              <w:spacing w:after="0"/>
              <w:rPr>
                <w:rFonts w:ascii="Garamond" w:hAnsi="Garamond" w:cs="Calibri"/>
                <w:b/>
                <w:sz w:val="32"/>
                <w:szCs w:val="32"/>
                <w:lang w:val="en-GB"/>
              </w:rPr>
            </w:pPr>
            <w:r>
              <w:rPr>
                <w:rFonts w:ascii="Garamond" w:hAnsi="Garamond" w:cs="Calibri"/>
                <w:b/>
                <w:sz w:val="32"/>
                <w:szCs w:val="32"/>
                <w:lang w:val="en-GB"/>
              </w:rPr>
              <w:t>Approved by:</w:t>
            </w:r>
          </w:p>
        </w:tc>
        <w:tc>
          <w:tcPr>
            <w:tcW w:w="3512" w:type="dxa"/>
            <w:tcBorders>
              <w:top w:val="nil"/>
              <w:bottom w:val="single" w:sz="18" w:space="0" w:color="FFFFFF"/>
            </w:tcBorders>
            <w:shd w:val="clear" w:color="auto" w:fill="D8DFDE"/>
            <w:vAlign w:val="center"/>
          </w:tcPr>
          <w:p>
            <w:pPr>
              <w:pStyle w:val="1bodycopy11pt"/>
              <w:framePr w:hSpace="0" w:wrap="auto" w:vAnchor="margin" w:hAnchor="text" w:xAlign="left" w:yAlign="inline"/>
              <w:spacing w:after="0"/>
              <w:rPr>
                <w:rFonts w:ascii="Garamond" w:hAnsi="Garamond"/>
                <w:sz w:val="32"/>
                <w:szCs w:val="32"/>
              </w:rPr>
            </w:pPr>
            <w:r>
              <w:rPr>
                <w:rFonts w:ascii="Garamond" w:hAnsi="Garamond"/>
                <w:sz w:val="32"/>
                <w:szCs w:val="32"/>
              </w:rPr>
              <w:t>The Governing Body</w:t>
            </w:r>
          </w:p>
        </w:tc>
        <w:tc>
          <w:tcPr>
            <w:tcW w:w="3576" w:type="dxa"/>
            <w:tcBorders>
              <w:top w:val="nil"/>
              <w:bottom w:val="single" w:sz="18" w:space="0" w:color="FFFFFF"/>
            </w:tcBorders>
            <w:shd w:val="clear" w:color="auto" w:fill="D8DFDE"/>
            <w:vAlign w:val="center"/>
          </w:tcPr>
          <w:p>
            <w:pPr>
              <w:pStyle w:val="1bodycopy11pt"/>
              <w:framePr w:hSpace="0" w:wrap="auto" w:vAnchor="margin" w:hAnchor="text" w:xAlign="left" w:yAlign="inline"/>
              <w:spacing w:after="0"/>
              <w:rPr>
                <w:rFonts w:ascii="Garamond" w:hAnsi="Garamond"/>
                <w:sz w:val="32"/>
                <w:szCs w:val="32"/>
              </w:rPr>
            </w:pPr>
            <w:r>
              <w:rPr>
                <w:rFonts w:ascii="Garamond" w:hAnsi="Garamond"/>
                <w:sz w:val="32"/>
                <w:szCs w:val="32"/>
              </w:rPr>
              <w:t xml:space="preserve">Date: </w:t>
            </w:r>
            <w:proofErr w:type="gramStart"/>
            <w:r>
              <w:rPr>
                <w:rFonts w:ascii="Garamond" w:hAnsi="Garamond"/>
                <w:sz w:val="32"/>
                <w:szCs w:val="32"/>
              </w:rPr>
              <w:t>September  2025</w:t>
            </w:r>
            <w:proofErr w:type="gramEnd"/>
          </w:p>
        </w:tc>
      </w:tr>
      <w:tr>
        <w:trPr>
          <w:trHeight w:val="567"/>
        </w:trPr>
        <w:tc>
          <w:tcPr>
            <w:tcW w:w="3085" w:type="dxa"/>
            <w:tcBorders>
              <w:top w:val="single" w:sz="18" w:space="0" w:color="FFFFFF"/>
              <w:bottom w:val="single" w:sz="18" w:space="0" w:color="FFFFFF"/>
            </w:tcBorders>
            <w:shd w:val="clear" w:color="auto" w:fill="D8DFDE"/>
            <w:vAlign w:val="center"/>
          </w:tcPr>
          <w:p>
            <w:pPr>
              <w:pStyle w:val="1bodycopy10pt"/>
              <w:spacing w:after="0"/>
              <w:rPr>
                <w:rFonts w:ascii="Garamond" w:hAnsi="Garamond" w:cs="Calibri"/>
                <w:b/>
                <w:sz w:val="32"/>
                <w:szCs w:val="32"/>
                <w:lang w:val="en-GB"/>
              </w:rPr>
            </w:pPr>
            <w:r>
              <w:rPr>
                <w:rFonts w:ascii="Garamond" w:hAnsi="Garamond" w:cs="Calibri"/>
                <w:b/>
                <w:sz w:val="32"/>
                <w:szCs w:val="32"/>
                <w:lang w:val="en-GB"/>
              </w:rPr>
              <w:t>Last reviewed on:</w:t>
            </w:r>
          </w:p>
        </w:tc>
        <w:tc>
          <w:tcPr>
            <w:tcW w:w="7088" w:type="dxa"/>
            <w:gridSpan w:val="2"/>
            <w:tcBorders>
              <w:top w:val="single" w:sz="18" w:space="0" w:color="FFFFFF"/>
              <w:bottom w:val="single" w:sz="18" w:space="0" w:color="FFFFFF"/>
            </w:tcBorders>
            <w:shd w:val="clear" w:color="auto" w:fill="D8DFDE"/>
            <w:vAlign w:val="center"/>
          </w:tcPr>
          <w:p>
            <w:pPr>
              <w:pStyle w:val="1bodycopy11pt"/>
              <w:framePr w:hSpace="0" w:wrap="auto" w:vAnchor="margin" w:hAnchor="text" w:xAlign="left" w:yAlign="inline"/>
              <w:spacing w:after="0"/>
              <w:rPr>
                <w:rFonts w:ascii="Garamond" w:hAnsi="Garamond"/>
                <w:sz w:val="32"/>
                <w:szCs w:val="32"/>
              </w:rPr>
            </w:pPr>
            <w:proofErr w:type="gramStart"/>
            <w:r>
              <w:rPr>
                <w:rFonts w:ascii="Garamond" w:hAnsi="Garamond"/>
                <w:sz w:val="32"/>
                <w:szCs w:val="32"/>
              </w:rPr>
              <w:t>September  2025</w:t>
            </w:r>
            <w:proofErr w:type="gramEnd"/>
          </w:p>
        </w:tc>
      </w:tr>
      <w:tr>
        <w:trPr>
          <w:trHeight w:val="567"/>
        </w:trPr>
        <w:tc>
          <w:tcPr>
            <w:tcW w:w="3085" w:type="dxa"/>
            <w:tcBorders>
              <w:top w:val="single" w:sz="18" w:space="0" w:color="FFFFFF"/>
              <w:bottom w:val="nil"/>
            </w:tcBorders>
            <w:shd w:val="clear" w:color="auto" w:fill="D8DFDE"/>
            <w:vAlign w:val="center"/>
          </w:tcPr>
          <w:p>
            <w:pPr>
              <w:pStyle w:val="1bodycopy10pt"/>
              <w:spacing w:after="0"/>
              <w:rPr>
                <w:rFonts w:ascii="Garamond" w:hAnsi="Garamond" w:cs="Calibri"/>
                <w:b/>
                <w:sz w:val="32"/>
                <w:szCs w:val="32"/>
                <w:lang w:val="en-GB"/>
              </w:rPr>
            </w:pPr>
            <w:r>
              <w:rPr>
                <w:rFonts w:ascii="Garamond" w:hAnsi="Garamond" w:cs="Calibri"/>
                <w:b/>
                <w:sz w:val="32"/>
                <w:szCs w:val="32"/>
                <w:lang w:val="en-GB"/>
              </w:rPr>
              <w:t>Next review due by:</w:t>
            </w:r>
          </w:p>
        </w:tc>
        <w:tc>
          <w:tcPr>
            <w:tcW w:w="7088" w:type="dxa"/>
            <w:gridSpan w:val="2"/>
            <w:tcBorders>
              <w:top w:val="single" w:sz="18" w:space="0" w:color="FFFFFF"/>
              <w:bottom w:val="nil"/>
            </w:tcBorders>
            <w:shd w:val="clear" w:color="auto" w:fill="D8DFDE"/>
            <w:vAlign w:val="center"/>
          </w:tcPr>
          <w:p>
            <w:pPr>
              <w:pStyle w:val="1bodycopy11pt"/>
              <w:framePr w:hSpace="0" w:wrap="auto" w:vAnchor="margin" w:hAnchor="text" w:xAlign="left" w:yAlign="inline"/>
              <w:spacing w:after="0"/>
              <w:rPr>
                <w:rFonts w:ascii="Garamond" w:hAnsi="Garamond"/>
                <w:sz w:val="32"/>
                <w:szCs w:val="32"/>
              </w:rPr>
            </w:pPr>
            <w:r>
              <w:rPr>
                <w:rFonts w:ascii="Garamond" w:hAnsi="Garamond"/>
                <w:sz w:val="32"/>
                <w:szCs w:val="32"/>
              </w:rPr>
              <w:t xml:space="preserve">September </w:t>
            </w:r>
            <w:bookmarkStart w:id="0" w:name="_GoBack"/>
            <w:bookmarkEnd w:id="0"/>
            <w:r>
              <w:rPr>
                <w:rFonts w:ascii="Garamond" w:hAnsi="Garamond"/>
                <w:sz w:val="32"/>
                <w:szCs w:val="32"/>
              </w:rPr>
              <w:t xml:space="preserve"> 2026</w:t>
            </w:r>
          </w:p>
        </w:tc>
      </w:tr>
    </w:tbl>
    <w:p>
      <w:pPr>
        <w:autoSpaceDE w:val="0"/>
        <w:autoSpaceDN w:val="0"/>
        <w:adjustRightInd w:val="0"/>
        <w:rPr>
          <w:rFonts w:ascii="Tahoma" w:hAnsi="Tahoma" w:cs="Tahoma"/>
          <w:b/>
          <w:bCs/>
          <w:sz w:val="20"/>
          <w:szCs w:val="20"/>
        </w:rPr>
      </w:pPr>
    </w:p>
    <w:p>
      <w:pPr>
        <w:autoSpaceDE w:val="0"/>
        <w:autoSpaceDN w:val="0"/>
        <w:adjustRightInd w:val="0"/>
        <w:rPr>
          <w:rFonts w:ascii="Tahoma" w:hAnsi="Tahoma" w:cs="Tahoma"/>
          <w:b/>
          <w:bCs/>
          <w:sz w:val="20"/>
          <w:szCs w:val="20"/>
        </w:rPr>
      </w:pPr>
    </w:p>
    <w:p>
      <w:pPr>
        <w:autoSpaceDE w:val="0"/>
        <w:autoSpaceDN w:val="0"/>
        <w:adjustRightInd w:val="0"/>
        <w:rPr>
          <w:rFonts w:ascii="Tahoma" w:hAnsi="Tahoma" w:cs="Tahoma"/>
          <w:b/>
          <w:bCs/>
          <w:sz w:val="20"/>
          <w:szCs w:val="20"/>
        </w:rPr>
      </w:pPr>
    </w:p>
    <w:p>
      <w:pPr>
        <w:autoSpaceDE w:val="0"/>
        <w:autoSpaceDN w:val="0"/>
        <w:adjustRightInd w:val="0"/>
        <w:rPr>
          <w:rFonts w:ascii="Tahoma" w:hAnsi="Tahoma" w:cs="Tahoma"/>
          <w:b/>
          <w:bCs/>
          <w:sz w:val="20"/>
          <w:szCs w:val="20"/>
        </w:rPr>
      </w:pPr>
    </w:p>
    <w:p>
      <w:pPr>
        <w:autoSpaceDE w:val="0"/>
        <w:autoSpaceDN w:val="0"/>
        <w:adjustRightInd w:val="0"/>
        <w:rPr>
          <w:rFonts w:ascii="Tahoma" w:hAnsi="Tahoma" w:cs="Tahoma"/>
          <w:b/>
          <w:bCs/>
          <w:sz w:val="20"/>
          <w:szCs w:val="20"/>
        </w:rPr>
      </w:pPr>
    </w:p>
    <w:p>
      <w:pPr>
        <w:autoSpaceDE w:val="0"/>
        <w:autoSpaceDN w:val="0"/>
        <w:adjustRightInd w:val="0"/>
        <w:rPr>
          <w:rFonts w:ascii="Tahoma" w:hAnsi="Tahoma" w:cs="Tahoma"/>
          <w:b/>
          <w:bCs/>
          <w:sz w:val="20"/>
          <w:szCs w:val="20"/>
        </w:rPr>
      </w:pPr>
    </w:p>
    <w:p>
      <w:pPr>
        <w:autoSpaceDE w:val="0"/>
        <w:autoSpaceDN w:val="0"/>
        <w:adjustRightInd w:val="0"/>
        <w:rPr>
          <w:rFonts w:ascii="Tahoma" w:hAnsi="Tahoma" w:cs="Tahoma"/>
          <w:b/>
          <w:bCs/>
          <w:sz w:val="20"/>
          <w:szCs w:val="20"/>
        </w:rPr>
      </w:pPr>
    </w:p>
    <w:p>
      <w:pPr>
        <w:autoSpaceDE w:val="0"/>
        <w:autoSpaceDN w:val="0"/>
        <w:adjustRightInd w:val="0"/>
        <w:rPr>
          <w:rFonts w:ascii="Tahoma" w:hAnsi="Tahoma" w:cs="Tahoma"/>
          <w:b/>
          <w:bCs/>
          <w:sz w:val="20"/>
          <w:szCs w:val="20"/>
        </w:rPr>
      </w:pPr>
    </w:p>
    <w:p>
      <w:pPr>
        <w:autoSpaceDE w:val="0"/>
        <w:autoSpaceDN w:val="0"/>
        <w:adjustRightInd w:val="0"/>
        <w:rPr>
          <w:rFonts w:ascii="Tahoma" w:hAnsi="Tahoma" w:cs="Tahoma"/>
          <w:b/>
          <w:bCs/>
          <w:sz w:val="20"/>
          <w:szCs w:val="20"/>
        </w:rPr>
      </w:pPr>
    </w:p>
    <w:p>
      <w:pPr>
        <w:tabs>
          <w:tab w:val="left" w:pos="7560"/>
        </w:tabs>
        <w:sectPr>
          <w:footerReference w:type="default" r:id="rId10"/>
          <w:footerReference w:type="first" r:id="rId11"/>
          <w:pgSz w:w="11906" w:h="16838" w:code="9"/>
          <w:pgMar w:top="1985" w:right="709" w:bottom="1440" w:left="709" w:header="567" w:footer="102"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bookmarkStart w:id="1" w:name="_Statement_of_intent"/>
      <w:bookmarkStart w:id="2" w:name="_heading=h.gwb144hphxil" w:colFirst="0" w:colLast="0"/>
      <w:bookmarkEnd w:id="1"/>
      <w:bookmarkEnd w:id="2"/>
      <w:r>
        <w:lastRenderedPageBreak/>
        <w:t xml:space="preserve">This policy is adapted from the model ACT policy. </w:t>
      </w:r>
    </w:p>
    <w:sdt>
      <w:sdtPr>
        <w:rPr>
          <w:rFonts w:ascii="Calibri" w:eastAsia="Calibri" w:hAnsi="Calibri" w:cs="Calibri"/>
          <w:color w:val="auto"/>
          <w:sz w:val="22"/>
          <w:szCs w:val="22"/>
          <w:lang w:eastAsia="en-GB"/>
        </w:rPr>
        <w:id w:val="2035460762"/>
        <w:docPartObj>
          <w:docPartGallery w:val="Table of Contents"/>
          <w:docPartUnique/>
        </w:docPartObj>
      </w:sdtPr>
      <w:sdtEndPr>
        <w:rPr>
          <w:b/>
          <w:bCs/>
          <w:noProof/>
        </w:rPr>
      </w:sdtEndPr>
      <w:sdtContent>
        <w:p>
          <w:pPr>
            <w:pStyle w:val="TOCHeading"/>
            <w:rPr>
              <w:b/>
              <w:color w:val="auto"/>
            </w:rPr>
          </w:pPr>
          <w:r>
            <w:rPr>
              <w:b/>
              <w:color w:val="auto"/>
            </w:rPr>
            <w:t>Contents</w:t>
          </w:r>
        </w:p>
        <w:p>
          <w:pPr>
            <w:pStyle w:val="TOC1"/>
            <w:rPr>
              <w:rFonts w:asciiTheme="minorHAnsi" w:eastAsiaTheme="minorEastAsia" w:hAnsiTheme="minorHAnsi" w:cstheme="minorBidi"/>
              <w:noProof/>
              <w:lang w:val="en-GB"/>
            </w:rPr>
          </w:pPr>
          <w:r>
            <w:fldChar w:fldCharType="begin"/>
          </w:r>
          <w:r>
            <w:instrText xml:space="preserve"> TOC \o "1-3" \h \z \u </w:instrText>
          </w:r>
          <w:r>
            <w:fldChar w:fldCharType="separate"/>
          </w:r>
          <w:hyperlink w:anchor="_Toc172030584" w:history="1">
            <w:r>
              <w:rPr>
                <w:rStyle w:val="Hyperlink"/>
                <w:rFonts w:cstheme="minorHAnsi"/>
                <w:b/>
                <w:noProof/>
                <w:color w:val="FF0000"/>
              </w:rPr>
              <w:t>Part One: Aware</w:t>
            </w:r>
            <w:r>
              <w:rPr>
                <w:noProof/>
                <w:webHidden/>
              </w:rPr>
              <w:tab/>
            </w:r>
            <w:r>
              <w:rPr>
                <w:noProof/>
                <w:webHidden/>
              </w:rPr>
              <w:fldChar w:fldCharType="begin"/>
            </w:r>
            <w:r>
              <w:rPr>
                <w:noProof/>
                <w:webHidden/>
              </w:rPr>
              <w:instrText xml:space="preserve"> PAGEREF _Toc172030584 \h </w:instrText>
            </w:r>
            <w:r>
              <w:rPr>
                <w:noProof/>
                <w:webHidden/>
              </w:rPr>
            </w:r>
            <w:r>
              <w:rPr>
                <w:noProof/>
                <w:webHidden/>
              </w:rPr>
              <w:fldChar w:fldCharType="separate"/>
            </w:r>
            <w:r>
              <w:rPr>
                <w:noProof/>
                <w:webHidden/>
              </w:rPr>
              <w:t>5</w:t>
            </w:r>
            <w:r>
              <w:rPr>
                <w:noProof/>
                <w:webHidden/>
              </w:rPr>
              <w:fldChar w:fldCharType="end"/>
            </w:r>
          </w:hyperlink>
        </w:p>
        <w:p>
          <w:pPr>
            <w:pStyle w:val="TOC2"/>
            <w:tabs>
              <w:tab w:val="left" w:pos="660"/>
              <w:tab w:val="right" w:leader="dot" w:pos="9742"/>
            </w:tabs>
            <w:rPr>
              <w:rFonts w:asciiTheme="minorHAnsi" w:eastAsiaTheme="minorEastAsia" w:hAnsiTheme="minorHAnsi" w:cstheme="minorBidi"/>
              <w:noProof/>
              <w:lang w:val="en-GB"/>
            </w:rPr>
          </w:pPr>
          <w:hyperlink w:anchor="_Toc172030585" w:history="1">
            <w:r>
              <w:rPr>
                <w:rStyle w:val="Hyperlink"/>
                <w:noProof/>
              </w:rPr>
              <w:t>1.</w:t>
            </w:r>
            <w:r>
              <w:rPr>
                <w:rFonts w:asciiTheme="minorHAnsi" w:eastAsiaTheme="minorEastAsia" w:hAnsiTheme="minorHAnsi" w:cstheme="minorBidi"/>
                <w:noProof/>
                <w:lang w:val="en-GB"/>
              </w:rPr>
              <w:tab/>
            </w:r>
            <w:r>
              <w:rPr>
                <w:rStyle w:val="Hyperlink"/>
                <w:noProof/>
              </w:rPr>
              <w:t>Policy Statement</w:t>
            </w:r>
            <w:r>
              <w:rPr>
                <w:noProof/>
                <w:webHidden/>
              </w:rPr>
              <w:tab/>
            </w:r>
            <w:r>
              <w:rPr>
                <w:noProof/>
                <w:webHidden/>
              </w:rPr>
              <w:fldChar w:fldCharType="begin"/>
            </w:r>
            <w:r>
              <w:rPr>
                <w:noProof/>
                <w:webHidden/>
              </w:rPr>
              <w:instrText xml:space="preserve"> PAGEREF _Toc172030585 \h </w:instrText>
            </w:r>
            <w:r>
              <w:rPr>
                <w:noProof/>
                <w:webHidden/>
              </w:rPr>
            </w:r>
            <w:r>
              <w:rPr>
                <w:noProof/>
                <w:webHidden/>
              </w:rPr>
              <w:fldChar w:fldCharType="separate"/>
            </w:r>
            <w:r>
              <w:rPr>
                <w:noProof/>
                <w:webHidden/>
              </w:rPr>
              <w:t>5</w:t>
            </w:r>
            <w:r>
              <w:rPr>
                <w:noProof/>
                <w:webHidden/>
              </w:rPr>
              <w:fldChar w:fldCharType="end"/>
            </w:r>
          </w:hyperlink>
        </w:p>
        <w:p>
          <w:pPr>
            <w:pStyle w:val="TOC2"/>
            <w:tabs>
              <w:tab w:val="left" w:pos="660"/>
              <w:tab w:val="right" w:leader="dot" w:pos="9742"/>
            </w:tabs>
            <w:rPr>
              <w:rFonts w:asciiTheme="minorHAnsi" w:eastAsiaTheme="minorEastAsia" w:hAnsiTheme="minorHAnsi" w:cstheme="minorBidi"/>
              <w:noProof/>
              <w:lang w:val="en-GB"/>
            </w:rPr>
          </w:pPr>
          <w:hyperlink w:anchor="_Toc172030586" w:history="1">
            <w:r>
              <w:rPr>
                <w:rStyle w:val="Hyperlink"/>
                <w:noProof/>
              </w:rPr>
              <w:t>2.</w:t>
            </w:r>
            <w:r>
              <w:rPr>
                <w:rFonts w:asciiTheme="minorHAnsi" w:eastAsiaTheme="minorEastAsia" w:hAnsiTheme="minorHAnsi" w:cstheme="minorBidi"/>
                <w:noProof/>
                <w:lang w:val="en-GB"/>
              </w:rPr>
              <w:tab/>
            </w:r>
            <w:r>
              <w:rPr>
                <w:rStyle w:val="Hyperlink"/>
                <w:noProof/>
              </w:rPr>
              <w:t>Policy Principles</w:t>
            </w:r>
            <w:r>
              <w:rPr>
                <w:noProof/>
                <w:webHidden/>
              </w:rPr>
              <w:tab/>
            </w:r>
            <w:r>
              <w:rPr>
                <w:noProof/>
                <w:webHidden/>
              </w:rPr>
              <w:fldChar w:fldCharType="begin"/>
            </w:r>
            <w:r>
              <w:rPr>
                <w:noProof/>
                <w:webHidden/>
              </w:rPr>
              <w:instrText xml:space="preserve"> PAGEREF _Toc172030586 \h </w:instrText>
            </w:r>
            <w:r>
              <w:rPr>
                <w:noProof/>
                <w:webHidden/>
              </w:rPr>
            </w:r>
            <w:r>
              <w:rPr>
                <w:noProof/>
                <w:webHidden/>
              </w:rPr>
              <w:fldChar w:fldCharType="separate"/>
            </w:r>
            <w:r>
              <w:rPr>
                <w:noProof/>
                <w:webHidden/>
              </w:rPr>
              <w:t>5</w:t>
            </w:r>
            <w:r>
              <w:rPr>
                <w:noProof/>
                <w:webHidden/>
              </w:rPr>
              <w:fldChar w:fldCharType="end"/>
            </w:r>
          </w:hyperlink>
        </w:p>
        <w:p>
          <w:pPr>
            <w:pStyle w:val="TOC2"/>
            <w:tabs>
              <w:tab w:val="left" w:pos="660"/>
              <w:tab w:val="right" w:leader="dot" w:pos="9742"/>
            </w:tabs>
            <w:rPr>
              <w:rFonts w:asciiTheme="minorHAnsi" w:eastAsiaTheme="minorEastAsia" w:hAnsiTheme="minorHAnsi" w:cstheme="minorBidi"/>
              <w:noProof/>
              <w:lang w:val="en-GB"/>
            </w:rPr>
          </w:pPr>
          <w:hyperlink w:anchor="_Toc172030587" w:history="1">
            <w:r>
              <w:rPr>
                <w:rStyle w:val="Hyperlink"/>
                <w:rFonts w:cstheme="minorHAnsi"/>
                <w:noProof/>
              </w:rPr>
              <w:t>3.</w:t>
            </w:r>
            <w:r>
              <w:rPr>
                <w:rFonts w:asciiTheme="minorHAnsi" w:eastAsiaTheme="minorEastAsia" w:hAnsiTheme="minorHAnsi" w:cstheme="minorBidi"/>
                <w:noProof/>
                <w:lang w:val="en-GB"/>
              </w:rPr>
              <w:tab/>
            </w:r>
            <w:r>
              <w:rPr>
                <w:rStyle w:val="Hyperlink"/>
                <w:noProof/>
              </w:rPr>
              <w:t>Definition of Safeguarding</w:t>
            </w:r>
            <w:r>
              <w:rPr>
                <w:noProof/>
                <w:webHidden/>
              </w:rPr>
              <w:tab/>
            </w:r>
            <w:r>
              <w:rPr>
                <w:noProof/>
                <w:webHidden/>
              </w:rPr>
              <w:fldChar w:fldCharType="begin"/>
            </w:r>
            <w:r>
              <w:rPr>
                <w:noProof/>
                <w:webHidden/>
              </w:rPr>
              <w:instrText xml:space="preserve"> PAGEREF _Toc172030587 \h </w:instrText>
            </w:r>
            <w:r>
              <w:rPr>
                <w:noProof/>
                <w:webHidden/>
              </w:rPr>
            </w:r>
            <w:r>
              <w:rPr>
                <w:noProof/>
                <w:webHidden/>
              </w:rPr>
              <w:fldChar w:fldCharType="separate"/>
            </w:r>
            <w:r>
              <w:rPr>
                <w:noProof/>
                <w:webHidden/>
              </w:rPr>
              <w:t>5</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588" w:history="1">
            <w:r>
              <w:rPr>
                <w:rStyle w:val="Hyperlink"/>
                <w:noProof/>
              </w:rPr>
              <w:t>4. Aims</w:t>
            </w:r>
            <w:r>
              <w:rPr>
                <w:noProof/>
                <w:webHidden/>
              </w:rPr>
              <w:tab/>
            </w:r>
            <w:r>
              <w:rPr>
                <w:noProof/>
                <w:webHidden/>
              </w:rPr>
              <w:fldChar w:fldCharType="begin"/>
            </w:r>
            <w:r>
              <w:rPr>
                <w:noProof/>
                <w:webHidden/>
              </w:rPr>
              <w:instrText xml:space="preserve"> PAGEREF _Toc172030588 \h </w:instrText>
            </w:r>
            <w:r>
              <w:rPr>
                <w:noProof/>
                <w:webHidden/>
              </w:rPr>
            </w:r>
            <w:r>
              <w:rPr>
                <w:noProof/>
                <w:webHidden/>
              </w:rPr>
              <w:fldChar w:fldCharType="separate"/>
            </w:r>
            <w:r>
              <w:rPr>
                <w:noProof/>
                <w:webHidden/>
              </w:rPr>
              <w:t>6</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589" w:history="1">
            <w:r>
              <w:rPr>
                <w:rStyle w:val="Hyperlink"/>
                <w:noProof/>
              </w:rPr>
              <w:t>5. Legislation and statutory guidance</w:t>
            </w:r>
            <w:r>
              <w:rPr>
                <w:noProof/>
                <w:webHidden/>
              </w:rPr>
              <w:tab/>
            </w:r>
            <w:r>
              <w:rPr>
                <w:noProof/>
                <w:webHidden/>
              </w:rPr>
              <w:fldChar w:fldCharType="begin"/>
            </w:r>
            <w:r>
              <w:rPr>
                <w:noProof/>
                <w:webHidden/>
              </w:rPr>
              <w:instrText xml:space="preserve"> PAGEREF _Toc172030589 \h </w:instrText>
            </w:r>
            <w:r>
              <w:rPr>
                <w:noProof/>
                <w:webHidden/>
              </w:rPr>
            </w:r>
            <w:r>
              <w:rPr>
                <w:noProof/>
                <w:webHidden/>
              </w:rPr>
              <w:fldChar w:fldCharType="separate"/>
            </w:r>
            <w:r>
              <w:rPr>
                <w:noProof/>
                <w:webHidden/>
              </w:rPr>
              <w:t>6</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590" w:history="1">
            <w:r>
              <w:rPr>
                <w:rStyle w:val="Hyperlink"/>
                <w:noProof/>
              </w:rPr>
              <w:t>6. Key Contacts</w:t>
            </w:r>
            <w:r>
              <w:rPr>
                <w:noProof/>
                <w:webHidden/>
              </w:rPr>
              <w:tab/>
            </w:r>
            <w:r>
              <w:rPr>
                <w:noProof/>
                <w:webHidden/>
              </w:rPr>
              <w:fldChar w:fldCharType="begin"/>
            </w:r>
            <w:r>
              <w:rPr>
                <w:noProof/>
                <w:webHidden/>
              </w:rPr>
              <w:instrText xml:space="preserve"> PAGEREF _Toc172030590 \h </w:instrText>
            </w:r>
            <w:r>
              <w:rPr>
                <w:noProof/>
                <w:webHidden/>
              </w:rPr>
            </w:r>
            <w:r>
              <w:rPr>
                <w:noProof/>
                <w:webHidden/>
              </w:rPr>
              <w:fldChar w:fldCharType="separate"/>
            </w:r>
            <w:r>
              <w:rPr>
                <w:noProof/>
                <w:webHidden/>
              </w:rPr>
              <w:t>7</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591" w:history="1">
            <w:r>
              <w:rPr>
                <w:rStyle w:val="Hyperlink"/>
                <w:noProof/>
              </w:rPr>
              <w:t>7. Terminology</w:t>
            </w:r>
            <w:r>
              <w:rPr>
                <w:noProof/>
                <w:webHidden/>
              </w:rPr>
              <w:tab/>
            </w:r>
            <w:r>
              <w:rPr>
                <w:noProof/>
                <w:webHidden/>
              </w:rPr>
              <w:fldChar w:fldCharType="begin"/>
            </w:r>
            <w:r>
              <w:rPr>
                <w:noProof/>
                <w:webHidden/>
              </w:rPr>
              <w:instrText xml:space="preserve"> PAGEREF _Toc172030591 \h </w:instrText>
            </w:r>
            <w:r>
              <w:rPr>
                <w:noProof/>
                <w:webHidden/>
              </w:rPr>
            </w:r>
            <w:r>
              <w:rPr>
                <w:noProof/>
                <w:webHidden/>
              </w:rPr>
              <w:fldChar w:fldCharType="separate"/>
            </w:r>
            <w:r>
              <w:rPr>
                <w:noProof/>
                <w:webHidden/>
              </w:rPr>
              <w:t>7</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592" w:history="1">
            <w:r>
              <w:rPr>
                <w:rStyle w:val="Hyperlink"/>
                <w:noProof/>
              </w:rPr>
              <w:t>Acronyms</w:t>
            </w:r>
            <w:r>
              <w:rPr>
                <w:noProof/>
                <w:webHidden/>
              </w:rPr>
              <w:tab/>
            </w:r>
            <w:r>
              <w:rPr>
                <w:noProof/>
                <w:webHidden/>
              </w:rPr>
              <w:fldChar w:fldCharType="begin"/>
            </w:r>
            <w:r>
              <w:rPr>
                <w:noProof/>
                <w:webHidden/>
              </w:rPr>
              <w:instrText xml:space="preserve"> PAGEREF _Toc172030592 \h </w:instrText>
            </w:r>
            <w:r>
              <w:rPr>
                <w:noProof/>
                <w:webHidden/>
              </w:rPr>
            </w:r>
            <w:r>
              <w:rPr>
                <w:noProof/>
                <w:webHidden/>
              </w:rPr>
              <w:fldChar w:fldCharType="separate"/>
            </w:r>
            <w:r>
              <w:rPr>
                <w:noProof/>
                <w:webHidden/>
              </w:rPr>
              <w:t>8</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593" w:history="1">
            <w:r>
              <w:rPr>
                <w:rStyle w:val="Hyperlink"/>
                <w:noProof/>
              </w:rPr>
              <w:t>8. Role and Responsibilities</w:t>
            </w:r>
            <w:r>
              <w:rPr>
                <w:noProof/>
                <w:webHidden/>
              </w:rPr>
              <w:tab/>
            </w:r>
            <w:r>
              <w:rPr>
                <w:noProof/>
                <w:webHidden/>
              </w:rPr>
              <w:fldChar w:fldCharType="begin"/>
            </w:r>
            <w:r>
              <w:rPr>
                <w:noProof/>
                <w:webHidden/>
              </w:rPr>
              <w:instrText xml:space="preserve"> PAGEREF _Toc172030593 \h </w:instrText>
            </w:r>
            <w:r>
              <w:rPr>
                <w:noProof/>
                <w:webHidden/>
              </w:rPr>
            </w:r>
            <w:r>
              <w:rPr>
                <w:noProof/>
                <w:webHidden/>
              </w:rPr>
              <w:fldChar w:fldCharType="separate"/>
            </w:r>
            <w:r>
              <w:rPr>
                <w:noProof/>
                <w:webHidden/>
              </w:rPr>
              <w:t>8</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594" w:history="1">
            <w:r>
              <w:rPr>
                <w:rStyle w:val="Hyperlink"/>
                <w:noProof/>
              </w:rPr>
              <w:t>8.1 All Staff</w:t>
            </w:r>
            <w:r>
              <w:rPr>
                <w:noProof/>
                <w:webHidden/>
              </w:rPr>
              <w:tab/>
            </w:r>
            <w:r>
              <w:rPr>
                <w:noProof/>
                <w:webHidden/>
              </w:rPr>
              <w:fldChar w:fldCharType="begin"/>
            </w:r>
            <w:r>
              <w:rPr>
                <w:noProof/>
                <w:webHidden/>
              </w:rPr>
              <w:instrText xml:space="preserve"> PAGEREF _Toc172030594 \h </w:instrText>
            </w:r>
            <w:r>
              <w:rPr>
                <w:noProof/>
                <w:webHidden/>
              </w:rPr>
            </w:r>
            <w:r>
              <w:rPr>
                <w:noProof/>
                <w:webHidden/>
              </w:rPr>
              <w:fldChar w:fldCharType="separate"/>
            </w:r>
            <w:r>
              <w:rPr>
                <w:noProof/>
                <w:webHidden/>
              </w:rPr>
              <w:t>8</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595" w:history="1">
            <w:r>
              <w:rPr>
                <w:rStyle w:val="Hyperlink"/>
                <w:noProof/>
              </w:rPr>
              <w:t>8.2 DSLs</w:t>
            </w:r>
            <w:r>
              <w:rPr>
                <w:noProof/>
                <w:webHidden/>
              </w:rPr>
              <w:tab/>
            </w:r>
            <w:r>
              <w:rPr>
                <w:noProof/>
                <w:webHidden/>
              </w:rPr>
              <w:fldChar w:fldCharType="begin"/>
            </w:r>
            <w:r>
              <w:rPr>
                <w:noProof/>
                <w:webHidden/>
              </w:rPr>
              <w:instrText xml:space="preserve"> PAGEREF _Toc172030595 \h </w:instrText>
            </w:r>
            <w:r>
              <w:rPr>
                <w:noProof/>
                <w:webHidden/>
              </w:rPr>
            </w:r>
            <w:r>
              <w:rPr>
                <w:noProof/>
                <w:webHidden/>
              </w:rPr>
              <w:fldChar w:fldCharType="separate"/>
            </w:r>
            <w:r>
              <w:rPr>
                <w:noProof/>
                <w:webHidden/>
              </w:rPr>
              <w:t>10</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596" w:history="1">
            <w:r>
              <w:rPr>
                <w:rStyle w:val="Hyperlink"/>
                <w:noProof/>
              </w:rPr>
              <w:t>8.3 The Governing Body</w:t>
            </w:r>
            <w:r>
              <w:rPr>
                <w:noProof/>
                <w:webHidden/>
              </w:rPr>
              <w:tab/>
            </w:r>
            <w:r>
              <w:rPr>
                <w:noProof/>
                <w:webHidden/>
              </w:rPr>
              <w:fldChar w:fldCharType="begin"/>
            </w:r>
            <w:r>
              <w:rPr>
                <w:noProof/>
                <w:webHidden/>
              </w:rPr>
              <w:instrText xml:space="preserve"> PAGEREF _Toc172030596 \h </w:instrText>
            </w:r>
            <w:r>
              <w:rPr>
                <w:noProof/>
                <w:webHidden/>
              </w:rPr>
            </w:r>
            <w:r>
              <w:rPr>
                <w:noProof/>
                <w:webHidden/>
              </w:rPr>
              <w:fldChar w:fldCharType="separate"/>
            </w:r>
            <w:r>
              <w:rPr>
                <w:noProof/>
                <w:webHidden/>
              </w:rPr>
              <w:t>11</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597" w:history="1">
            <w:r>
              <w:rPr>
                <w:rStyle w:val="Hyperlink"/>
                <w:noProof/>
              </w:rPr>
              <w:t>8.4 The Headteacher</w:t>
            </w:r>
            <w:r>
              <w:rPr>
                <w:noProof/>
                <w:webHidden/>
              </w:rPr>
              <w:tab/>
            </w:r>
            <w:r>
              <w:rPr>
                <w:noProof/>
                <w:webHidden/>
              </w:rPr>
              <w:fldChar w:fldCharType="begin"/>
            </w:r>
            <w:r>
              <w:rPr>
                <w:noProof/>
                <w:webHidden/>
              </w:rPr>
              <w:instrText xml:space="preserve"> PAGEREF _Toc172030597 \h </w:instrText>
            </w:r>
            <w:r>
              <w:rPr>
                <w:noProof/>
                <w:webHidden/>
              </w:rPr>
            </w:r>
            <w:r>
              <w:rPr>
                <w:noProof/>
                <w:webHidden/>
              </w:rPr>
              <w:fldChar w:fldCharType="separate"/>
            </w:r>
            <w:r>
              <w:rPr>
                <w:noProof/>
                <w:webHidden/>
              </w:rPr>
              <w:t>12</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598" w:history="1">
            <w:r>
              <w:rPr>
                <w:rStyle w:val="Hyperlink"/>
                <w:noProof/>
              </w:rPr>
              <w:t>8.5 Visitors including Contractors</w:t>
            </w:r>
            <w:r>
              <w:rPr>
                <w:noProof/>
                <w:webHidden/>
              </w:rPr>
              <w:tab/>
            </w:r>
            <w:r>
              <w:rPr>
                <w:noProof/>
                <w:webHidden/>
              </w:rPr>
              <w:fldChar w:fldCharType="begin"/>
            </w:r>
            <w:r>
              <w:rPr>
                <w:noProof/>
                <w:webHidden/>
              </w:rPr>
              <w:instrText xml:space="preserve"> PAGEREF _Toc172030598 \h </w:instrText>
            </w:r>
            <w:r>
              <w:rPr>
                <w:noProof/>
                <w:webHidden/>
              </w:rPr>
            </w:r>
            <w:r>
              <w:rPr>
                <w:noProof/>
                <w:webHidden/>
              </w:rPr>
              <w:fldChar w:fldCharType="separate"/>
            </w:r>
            <w:r>
              <w:rPr>
                <w:noProof/>
                <w:webHidden/>
              </w:rPr>
              <w:t>13</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599" w:history="1">
            <w:r>
              <w:rPr>
                <w:rStyle w:val="Hyperlink"/>
                <w:noProof/>
              </w:rPr>
              <w:t>8.6. Extended school and off-site arrangements</w:t>
            </w:r>
            <w:r>
              <w:rPr>
                <w:noProof/>
                <w:webHidden/>
              </w:rPr>
              <w:tab/>
            </w:r>
            <w:r>
              <w:rPr>
                <w:noProof/>
                <w:webHidden/>
              </w:rPr>
              <w:fldChar w:fldCharType="begin"/>
            </w:r>
            <w:r>
              <w:rPr>
                <w:noProof/>
                <w:webHidden/>
              </w:rPr>
              <w:instrText xml:space="preserve"> PAGEREF _Toc172030599 \h </w:instrText>
            </w:r>
            <w:r>
              <w:rPr>
                <w:noProof/>
                <w:webHidden/>
              </w:rPr>
            </w:r>
            <w:r>
              <w:rPr>
                <w:noProof/>
                <w:webHidden/>
              </w:rPr>
              <w:fldChar w:fldCharType="separate"/>
            </w:r>
            <w:r>
              <w:rPr>
                <w:noProof/>
                <w:webHidden/>
              </w:rPr>
              <w:t>13</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00" w:history="1">
            <w:r>
              <w:rPr>
                <w:rStyle w:val="Hyperlink"/>
                <w:noProof/>
              </w:rPr>
              <w:t>8.7 Transporting pupils</w:t>
            </w:r>
            <w:r>
              <w:rPr>
                <w:noProof/>
                <w:webHidden/>
              </w:rPr>
              <w:tab/>
            </w:r>
            <w:r>
              <w:rPr>
                <w:noProof/>
                <w:webHidden/>
              </w:rPr>
              <w:fldChar w:fldCharType="begin"/>
            </w:r>
            <w:r>
              <w:rPr>
                <w:noProof/>
                <w:webHidden/>
              </w:rPr>
              <w:instrText xml:space="preserve"> PAGEREF _Toc172030600 \h </w:instrText>
            </w:r>
            <w:r>
              <w:rPr>
                <w:noProof/>
                <w:webHidden/>
              </w:rPr>
            </w:r>
            <w:r>
              <w:rPr>
                <w:noProof/>
                <w:webHidden/>
              </w:rPr>
              <w:fldChar w:fldCharType="separate"/>
            </w:r>
            <w:r>
              <w:rPr>
                <w:noProof/>
                <w:webHidden/>
              </w:rPr>
              <w:t>13</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01" w:history="1">
            <w:r>
              <w:rPr>
                <w:rStyle w:val="Hyperlink"/>
                <w:noProof/>
              </w:rPr>
              <w:t>9. Equality Statement</w:t>
            </w:r>
            <w:r>
              <w:rPr>
                <w:noProof/>
                <w:webHidden/>
              </w:rPr>
              <w:tab/>
            </w:r>
            <w:r>
              <w:rPr>
                <w:noProof/>
                <w:webHidden/>
              </w:rPr>
              <w:fldChar w:fldCharType="begin"/>
            </w:r>
            <w:r>
              <w:rPr>
                <w:noProof/>
                <w:webHidden/>
              </w:rPr>
              <w:instrText xml:space="preserve"> PAGEREF _Toc172030601 \h </w:instrText>
            </w:r>
            <w:r>
              <w:rPr>
                <w:noProof/>
                <w:webHidden/>
              </w:rPr>
            </w:r>
            <w:r>
              <w:rPr>
                <w:noProof/>
                <w:webHidden/>
              </w:rPr>
              <w:fldChar w:fldCharType="separate"/>
            </w:r>
            <w:r>
              <w:rPr>
                <w:noProof/>
                <w:webHidden/>
              </w:rPr>
              <w:t>14</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02" w:history="1">
            <w:r>
              <w:rPr>
                <w:rStyle w:val="Hyperlink"/>
                <w:noProof/>
              </w:rPr>
              <w:t>10. Confidentiality</w:t>
            </w:r>
            <w:r>
              <w:rPr>
                <w:noProof/>
                <w:webHidden/>
              </w:rPr>
              <w:tab/>
            </w:r>
            <w:r>
              <w:rPr>
                <w:noProof/>
                <w:webHidden/>
              </w:rPr>
              <w:fldChar w:fldCharType="begin"/>
            </w:r>
            <w:r>
              <w:rPr>
                <w:noProof/>
                <w:webHidden/>
              </w:rPr>
              <w:instrText xml:space="preserve"> PAGEREF _Toc172030602 \h </w:instrText>
            </w:r>
            <w:r>
              <w:rPr>
                <w:noProof/>
                <w:webHidden/>
              </w:rPr>
            </w:r>
            <w:r>
              <w:rPr>
                <w:noProof/>
                <w:webHidden/>
              </w:rPr>
              <w:fldChar w:fldCharType="separate"/>
            </w:r>
            <w:r>
              <w:rPr>
                <w:noProof/>
                <w:webHidden/>
              </w:rPr>
              <w:t>14</w:t>
            </w:r>
            <w:r>
              <w:rPr>
                <w:noProof/>
                <w:webHidden/>
              </w:rPr>
              <w:fldChar w:fldCharType="end"/>
            </w:r>
          </w:hyperlink>
        </w:p>
        <w:p>
          <w:pPr>
            <w:pStyle w:val="TOC1"/>
            <w:rPr>
              <w:rFonts w:asciiTheme="minorHAnsi" w:eastAsiaTheme="minorEastAsia" w:hAnsiTheme="minorHAnsi" w:cstheme="minorBidi"/>
              <w:noProof/>
              <w:lang w:val="en-GB"/>
            </w:rPr>
          </w:pPr>
          <w:hyperlink w:anchor="_Toc172030603" w:history="1">
            <w:r>
              <w:rPr>
                <w:rStyle w:val="Hyperlink"/>
                <w:b/>
                <w:noProof/>
                <w:color w:val="FF0000"/>
              </w:rPr>
              <w:t>Part Two: Competent</w:t>
            </w:r>
            <w:r>
              <w:rPr>
                <w:noProof/>
                <w:webHidden/>
              </w:rPr>
              <w:tab/>
            </w:r>
            <w:r>
              <w:rPr>
                <w:noProof/>
                <w:webHidden/>
              </w:rPr>
              <w:fldChar w:fldCharType="begin"/>
            </w:r>
            <w:r>
              <w:rPr>
                <w:noProof/>
                <w:webHidden/>
              </w:rPr>
              <w:instrText xml:space="preserve"> PAGEREF _Toc172030603 \h </w:instrText>
            </w:r>
            <w:r>
              <w:rPr>
                <w:noProof/>
                <w:webHidden/>
              </w:rPr>
            </w:r>
            <w:r>
              <w:rPr>
                <w:noProof/>
                <w:webHidden/>
              </w:rPr>
              <w:fldChar w:fldCharType="separate"/>
            </w:r>
            <w:r>
              <w:rPr>
                <w:noProof/>
                <w:webHidden/>
              </w:rPr>
              <w:t>15</w:t>
            </w:r>
            <w:r>
              <w:rPr>
                <w:noProof/>
                <w:webHidden/>
              </w:rPr>
              <w:fldChar w:fldCharType="end"/>
            </w:r>
          </w:hyperlink>
        </w:p>
        <w:p>
          <w:pPr>
            <w:pStyle w:val="TOC1"/>
            <w:rPr>
              <w:rFonts w:asciiTheme="minorHAnsi" w:eastAsiaTheme="minorEastAsia" w:hAnsiTheme="minorHAnsi" w:cstheme="minorBidi"/>
              <w:noProof/>
              <w:lang w:val="en-GB"/>
            </w:rPr>
          </w:pPr>
          <w:hyperlink w:anchor="_Toc172030604" w:history="1">
            <w:r>
              <w:rPr>
                <w:rStyle w:val="Hyperlink"/>
                <w:noProof/>
              </w:rPr>
              <w:t>Part 2A - Competent: Recognising Abuse</w:t>
            </w:r>
            <w:r>
              <w:rPr>
                <w:noProof/>
                <w:webHidden/>
              </w:rPr>
              <w:tab/>
            </w:r>
            <w:r>
              <w:rPr>
                <w:noProof/>
                <w:webHidden/>
              </w:rPr>
              <w:fldChar w:fldCharType="begin"/>
            </w:r>
            <w:r>
              <w:rPr>
                <w:noProof/>
                <w:webHidden/>
              </w:rPr>
              <w:instrText xml:space="preserve"> PAGEREF _Toc172030604 \h </w:instrText>
            </w:r>
            <w:r>
              <w:rPr>
                <w:noProof/>
                <w:webHidden/>
              </w:rPr>
            </w:r>
            <w:r>
              <w:rPr>
                <w:noProof/>
                <w:webHidden/>
              </w:rPr>
              <w:fldChar w:fldCharType="separate"/>
            </w:r>
            <w:r>
              <w:rPr>
                <w:noProof/>
                <w:webHidden/>
              </w:rPr>
              <w:t>15</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05" w:history="1">
            <w:r>
              <w:rPr>
                <w:rStyle w:val="Hyperlink"/>
                <w:noProof/>
              </w:rPr>
              <w:t>11. Training</w:t>
            </w:r>
            <w:r>
              <w:rPr>
                <w:noProof/>
                <w:webHidden/>
              </w:rPr>
              <w:tab/>
            </w:r>
            <w:r>
              <w:rPr>
                <w:noProof/>
                <w:webHidden/>
              </w:rPr>
              <w:fldChar w:fldCharType="begin"/>
            </w:r>
            <w:r>
              <w:rPr>
                <w:noProof/>
                <w:webHidden/>
              </w:rPr>
              <w:instrText xml:space="preserve"> PAGEREF _Toc172030605 \h </w:instrText>
            </w:r>
            <w:r>
              <w:rPr>
                <w:noProof/>
                <w:webHidden/>
              </w:rPr>
            </w:r>
            <w:r>
              <w:rPr>
                <w:noProof/>
                <w:webHidden/>
              </w:rPr>
              <w:fldChar w:fldCharType="separate"/>
            </w:r>
            <w:r>
              <w:rPr>
                <w:noProof/>
                <w:webHidden/>
              </w:rPr>
              <w:t>15</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06" w:history="1">
            <w:r>
              <w:rPr>
                <w:rStyle w:val="Hyperlink"/>
                <w:noProof/>
              </w:rPr>
              <w:t>12. Recognising Abuse, Neglect and Exploitation</w:t>
            </w:r>
            <w:r>
              <w:rPr>
                <w:noProof/>
                <w:webHidden/>
              </w:rPr>
              <w:tab/>
            </w:r>
            <w:r>
              <w:rPr>
                <w:noProof/>
                <w:webHidden/>
              </w:rPr>
              <w:fldChar w:fldCharType="begin"/>
            </w:r>
            <w:r>
              <w:rPr>
                <w:noProof/>
                <w:webHidden/>
              </w:rPr>
              <w:instrText xml:space="preserve"> PAGEREF _Toc172030606 \h </w:instrText>
            </w:r>
            <w:r>
              <w:rPr>
                <w:noProof/>
                <w:webHidden/>
              </w:rPr>
            </w:r>
            <w:r>
              <w:rPr>
                <w:noProof/>
                <w:webHidden/>
              </w:rPr>
              <w:fldChar w:fldCharType="separate"/>
            </w:r>
            <w:r>
              <w:rPr>
                <w:noProof/>
                <w:webHidden/>
              </w:rPr>
              <w:t>15</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07" w:history="1">
            <w:r>
              <w:rPr>
                <w:rStyle w:val="Hyperlink"/>
                <w:noProof/>
              </w:rPr>
              <w:t>12.1 Abuse</w:t>
            </w:r>
            <w:r>
              <w:rPr>
                <w:noProof/>
                <w:webHidden/>
              </w:rPr>
              <w:tab/>
            </w:r>
            <w:r>
              <w:rPr>
                <w:noProof/>
                <w:webHidden/>
              </w:rPr>
              <w:fldChar w:fldCharType="begin"/>
            </w:r>
            <w:r>
              <w:rPr>
                <w:noProof/>
                <w:webHidden/>
              </w:rPr>
              <w:instrText xml:space="preserve"> PAGEREF _Toc172030607 \h </w:instrText>
            </w:r>
            <w:r>
              <w:rPr>
                <w:noProof/>
                <w:webHidden/>
              </w:rPr>
            </w:r>
            <w:r>
              <w:rPr>
                <w:noProof/>
                <w:webHidden/>
              </w:rPr>
              <w:fldChar w:fldCharType="separate"/>
            </w:r>
            <w:r>
              <w:rPr>
                <w:noProof/>
                <w:webHidden/>
              </w:rPr>
              <w:t>16</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08" w:history="1">
            <w:r>
              <w:rPr>
                <w:rStyle w:val="Hyperlink"/>
                <w:noProof/>
              </w:rPr>
              <w:t>12.2 Physical Abuse</w:t>
            </w:r>
            <w:r>
              <w:rPr>
                <w:noProof/>
                <w:webHidden/>
              </w:rPr>
              <w:tab/>
            </w:r>
            <w:r>
              <w:rPr>
                <w:noProof/>
                <w:webHidden/>
              </w:rPr>
              <w:fldChar w:fldCharType="begin"/>
            </w:r>
            <w:r>
              <w:rPr>
                <w:noProof/>
                <w:webHidden/>
              </w:rPr>
              <w:instrText xml:space="preserve"> PAGEREF _Toc172030608 \h </w:instrText>
            </w:r>
            <w:r>
              <w:rPr>
                <w:noProof/>
                <w:webHidden/>
              </w:rPr>
            </w:r>
            <w:r>
              <w:rPr>
                <w:noProof/>
                <w:webHidden/>
              </w:rPr>
              <w:fldChar w:fldCharType="separate"/>
            </w:r>
            <w:r>
              <w:rPr>
                <w:noProof/>
                <w:webHidden/>
              </w:rPr>
              <w:t>16</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09" w:history="1">
            <w:r>
              <w:rPr>
                <w:rStyle w:val="Hyperlink"/>
                <w:noProof/>
              </w:rPr>
              <w:t>12.3 Emotional Abuse</w:t>
            </w:r>
            <w:r>
              <w:rPr>
                <w:noProof/>
                <w:webHidden/>
              </w:rPr>
              <w:tab/>
            </w:r>
            <w:r>
              <w:rPr>
                <w:noProof/>
                <w:webHidden/>
              </w:rPr>
              <w:fldChar w:fldCharType="begin"/>
            </w:r>
            <w:r>
              <w:rPr>
                <w:noProof/>
                <w:webHidden/>
              </w:rPr>
              <w:instrText xml:space="preserve"> PAGEREF _Toc172030609 \h </w:instrText>
            </w:r>
            <w:r>
              <w:rPr>
                <w:noProof/>
                <w:webHidden/>
              </w:rPr>
            </w:r>
            <w:r>
              <w:rPr>
                <w:noProof/>
                <w:webHidden/>
              </w:rPr>
              <w:fldChar w:fldCharType="separate"/>
            </w:r>
            <w:r>
              <w:rPr>
                <w:noProof/>
                <w:webHidden/>
              </w:rPr>
              <w:t>16</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10" w:history="1">
            <w:r>
              <w:rPr>
                <w:rStyle w:val="Hyperlink"/>
                <w:noProof/>
              </w:rPr>
              <w:t>12.4 Sexual Abuse</w:t>
            </w:r>
            <w:r>
              <w:rPr>
                <w:noProof/>
                <w:webHidden/>
              </w:rPr>
              <w:tab/>
            </w:r>
            <w:r>
              <w:rPr>
                <w:noProof/>
                <w:webHidden/>
              </w:rPr>
              <w:fldChar w:fldCharType="begin"/>
            </w:r>
            <w:r>
              <w:rPr>
                <w:noProof/>
                <w:webHidden/>
              </w:rPr>
              <w:instrText xml:space="preserve"> PAGEREF _Toc172030610 \h </w:instrText>
            </w:r>
            <w:r>
              <w:rPr>
                <w:noProof/>
                <w:webHidden/>
              </w:rPr>
            </w:r>
            <w:r>
              <w:rPr>
                <w:noProof/>
                <w:webHidden/>
              </w:rPr>
              <w:fldChar w:fldCharType="separate"/>
            </w:r>
            <w:r>
              <w:rPr>
                <w:noProof/>
                <w:webHidden/>
              </w:rPr>
              <w:t>16</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11" w:history="1">
            <w:r>
              <w:rPr>
                <w:rStyle w:val="Hyperlink"/>
                <w:noProof/>
              </w:rPr>
              <w:t>12.5 Neglect</w:t>
            </w:r>
            <w:r>
              <w:rPr>
                <w:noProof/>
                <w:webHidden/>
              </w:rPr>
              <w:tab/>
            </w:r>
            <w:r>
              <w:rPr>
                <w:noProof/>
                <w:webHidden/>
              </w:rPr>
              <w:fldChar w:fldCharType="begin"/>
            </w:r>
            <w:r>
              <w:rPr>
                <w:noProof/>
                <w:webHidden/>
              </w:rPr>
              <w:instrText xml:space="preserve"> PAGEREF _Toc172030611 \h </w:instrText>
            </w:r>
            <w:r>
              <w:rPr>
                <w:noProof/>
                <w:webHidden/>
              </w:rPr>
            </w:r>
            <w:r>
              <w:rPr>
                <w:noProof/>
                <w:webHidden/>
              </w:rPr>
              <w:fldChar w:fldCharType="separate"/>
            </w:r>
            <w:r>
              <w:rPr>
                <w:noProof/>
                <w:webHidden/>
              </w:rPr>
              <w:t>17</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12" w:history="1">
            <w:r>
              <w:rPr>
                <w:rStyle w:val="Hyperlink"/>
                <w:noProof/>
              </w:rPr>
              <w:t>12.6 Child on Child Abuse</w:t>
            </w:r>
            <w:r>
              <w:rPr>
                <w:noProof/>
                <w:webHidden/>
              </w:rPr>
              <w:tab/>
            </w:r>
            <w:r>
              <w:rPr>
                <w:noProof/>
                <w:webHidden/>
              </w:rPr>
              <w:fldChar w:fldCharType="begin"/>
            </w:r>
            <w:r>
              <w:rPr>
                <w:noProof/>
                <w:webHidden/>
              </w:rPr>
              <w:instrText xml:space="preserve"> PAGEREF _Toc172030612 \h </w:instrText>
            </w:r>
            <w:r>
              <w:rPr>
                <w:noProof/>
                <w:webHidden/>
              </w:rPr>
            </w:r>
            <w:r>
              <w:rPr>
                <w:noProof/>
                <w:webHidden/>
              </w:rPr>
              <w:fldChar w:fldCharType="separate"/>
            </w:r>
            <w:r>
              <w:rPr>
                <w:noProof/>
                <w:webHidden/>
              </w:rPr>
              <w:t>17</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13" w:history="1">
            <w:r>
              <w:rPr>
                <w:rStyle w:val="Hyperlink"/>
                <w:noProof/>
              </w:rPr>
              <w:t>12.7 Exploitation</w:t>
            </w:r>
            <w:r>
              <w:rPr>
                <w:noProof/>
                <w:webHidden/>
              </w:rPr>
              <w:tab/>
            </w:r>
            <w:r>
              <w:rPr>
                <w:noProof/>
                <w:webHidden/>
              </w:rPr>
              <w:fldChar w:fldCharType="begin"/>
            </w:r>
            <w:r>
              <w:rPr>
                <w:noProof/>
                <w:webHidden/>
              </w:rPr>
              <w:instrText xml:space="preserve"> PAGEREF _Toc172030613 \h </w:instrText>
            </w:r>
            <w:r>
              <w:rPr>
                <w:noProof/>
                <w:webHidden/>
              </w:rPr>
            </w:r>
            <w:r>
              <w:rPr>
                <w:noProof/>
                <w:webHidden/>
              </w:rPr>
              <w:fldChar w:fldCharType="separate"/>
            </w:r>
            <w:r>
              <w:rPr>
                <w:noProof/>
                <w:webHidden/>
              </w:rPr>
              <w:t>17</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14" w:history="1">
            <w:r>
              <w:rPr>
                <w:rStyle w:val="Hyperlink"/>
                <w:noProof/>
              </w:rPr>
              <w:t>12.8 Child Criminal Exploitation (CCE)</w:t>
            </w:r>
            <w:r>
              <w:rPr>
                <w:noProof/>
                <w:webHidden/>
              </w:rPr>
              <w:tab/>
            </w:r>
            <w:r>
              <w:rPr>
                <w:noProof/>
                <w:webHidden/>
              </w:rPr>
              <w:fldChar w:fldCharType="begin"/>
            </w:r>
            <w:r>
              <w:rPr>
                <w:noProof/>
                <w:webHidden/>
              </w:rPr>
              <w:instrText xml:space="preserve"> PAGEREF _Toc172030614 \h </w:instrText>
            </w:r>
            <w:r>
              <w:rPr>
                <w:noProof/>
                <w:webHidden/>
              </w:rPr>
            </w:r>
            <w:r>
              <w:rPr>
                <w:noProof/>
                <w:webHidden/>
              </w:rPr>
              <w:fldChar w:fldCharType="separate"/>
            </w:r>
            <w:r>
              <w:rPr>
                <w:noProof/>
                <w:webHidden/>
              </w:rPr>
              <w:t>17</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15" w:history="1">
            <w:r>
              <w:rPr>
                <w:rStyle w:val="Hyperlink"/>
                <w:noProof/>
              </w:rPr>
              <w:t>12.9 Child Sexual Exploitation (CSE)</w:t>
            </w:r>
            <w:r>
              <w:rPr>
                <w:noProof/>
                <w:webHidden/>
              </w:rPr>
              <w:tab/>
            </w:r>
            <w:r>
              <w:rPr>
                <w:noProof/>
                <w:webHidden/>
              </w:rPr>
              <w:fldChar w:fldCharType="begin"/>
            </w:r>
            <w:r>
              <w:rPr>
                <w:noProof/>
                <w:webHidden/>
              </w:rPr>
              <w:instrText xml:space="preserve"> PAGEREF _Toc172030615 \h </w:instrText>
            </w:r>
            <w:r>
              <w:rPr>
                <w:noProof/>
                <w:webHidden/>
              </w:rPr>
            </w:r>
            <w:r>
              <w:rPr>
                <w:noProof/>
                <w:webHidden/>
              </w:rPr>
              <w:fldChar w:fldCharType="separate"/>
            </w:r>
            <w:r>
              <w:rPr>
                <w:noProof/>
                <w:webHidden/>
              </w:rPr>
              <w:t>18</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16" w:history="1">
            <w:r>
              <w:rPr>
                <w:rStyle w:val="Hyperlink"/>
                <w:noProof/>
              </w:rPr>
              <w:t>12.10 Child on Child Sexual Violence and Sexual Harassment</w:t>
            </w:r>
            <w:r>
              <w:rPr>
                <w:noProof/>
                <w:webHidden/>
              </w:rPr>
              <w:tab/>
            </w:r>
            <w:r>
              <w:rPr>
                <w:noProof/>
                <w:webHidden/>
              </w:rPr>
              <w:fldChar w:fldCharType="begin"/>
            </w:r>
            <w:r>
              <w:rPr>
                <w:noProof/>
                <w:webHidden/>
              </w:rPr>
              <w:instrText xml:space="preserve"> PAGEREF _Toc172030616 \h </w:instrText>
            </w:r>
            <w:r>
              <w:rPr>
                <w:noProof/>
                <w:webHidden/>
              </w:rPr>
            </w:r>
            <w:r>
              <w:rPr>
                <w:noProof/>
                <w:webHidden/>
              </w:rPr>
              <w:fldChar w:fldCharType="separate"/>
            </w:r>
            <w:r>
              <w:rPr>
                <w:noProof/>
                <w:webHidden/>
              </w:rPr>
              <w:t>18</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17" w:history="1">
            <w:r>
              <w:rPr>
                <w:rStyle w:val="Hyperlink"/>
                <w:noProof/>
              </w:rPr>
              <w:t>12.11 Indicators of Abuse, Neglect and Exploitation</w:t>
            </w:r>
            <w:r>
              <w:rPr>
                <w:noProof/>
                <w:webHidden/>
              </w:rPr>
              <w:tab/>
            </w:r>
            <w:r>
              <w:rPr>
                <w:noProof/>
                <w:webHidden/>
              </w:rPr>
              <w:fldChar w:fldCharType="begin"/>
            </w:r>
            <w:r>
              <w:rPr>
                <w:noProof/>
                <w:webHidden/>
              </w:rPr>
              <w:instrText xml:space="preserve"> PAGEREF _Toc172030617 \h </w:instrText>
            </w:r>
            <w:r>
              <w:rPr>
                <w:noProof/>
                <w:webHidden/>
              </w:rPr>
            </w:r>
            <w:r>
              <w:rPr>
                <w:noProof/>
                <w:webHidden/>
              </w:rPr>
              <w:fldChar w:fldCharType="separate"/>
            </w:r>
            <w:r>
              <w:rPr>
                <w:noProof/>
                <w:webHidden/>
              </w:rPr>
              <w:t>19</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18" w:history="1">
            <w:r>
              <w:rPr>
                <w:rStyle w:val="Hyperlink"/>
                <w:noProof/>
              </w:rPr>
              <w:t>12.12 Impact of Abuse, Neglect and Exploitation</w:t>
            </w:r>
            <w:r>
              <w:rPr>
                <w:noProof/>
                <w:webHidden/>
              </w:rPr>
              <w:tab/>
            </w:r>
            <w:r>
              <w:rPr>
                <w:noProof/>
                <w:webHidden/>
              </w:rPr>
              <w:fldChar w:fldCharType="begin"/>
            </w:r>
            <w:r>
              <w:rPr>
                <w:noProof/>
                <w:webHidden/>
              </w:rPr>
              <w:instrText xml:space="preserve"> PAGEREF _Toc172030618 \h </w:instrText>
            </w:r>
            <w:r>
              <w:rPr>
                <w:noProof/>
                <w:webHidden/>
              </w:rPr>
            </w:r>
            <w:r>
              <w:rPr>
                <w:noProof/>
                <w:webHidden/>
              </w:rPr>
              <w:fldChar w:fldCharType="separate"/>
            </w:r>
            <w:r>
              <w:rPr>
                <w:noProof/>
                <w:webHidden/>
              </w:rPr>
              <w:t>20</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19" w:history="1">
            <w:r>
              <w:rPr>
                <w:rStyle w:val="Hyperlink"/>
                <w:noProof/>
              </w:rPr>
              <w:t>13. Contextual Safeguarding</w:t>
            </w:r>
            <w:r>
              <w:rPr>
                <w:noProof/>
                <w:webHidden/>
              </w:rPr>
              <w:tab/>
            </w:r>
            <w:r>
              <w:rPr>
                <w:noProof/>
                <w:webHidden/>
              </w:rPr>
              <w:fldChar w:fldCharType="begin"/>
            </w:r>
            <w:r>
              <w:rPr>
                <w:noProof/>
                <w:webHidden/>
              </w:rPr>
              <w:instrText xml:space="preserve"> PAGEREF _Toc172030619 \h </w:instrText>
            </w:r>
            <w:r>
              <w:rPr>
                <w:noProof/>
                <w:webHidden/>
              </w:rPr>
            </w:r>
            <w:r>
              <w:rPr>
                <w:noProof/>
                <w:webHidden/>
              </w:rPr>
              <w:fldChar w:fldCharType="separate"/>
            </w:r>
            <w:r>
              <w:rPr>
                <w:noProof/>
                <w:webHidden/>
              </w:rPr>
              <w:t>20</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20" w:history="1">
            <w:r>
              <w:rPr>
                <w:rStyle w:val="Hyperlink"/>
                <w:noProof/>
              </w:rPr>
              <w:t>13.1 County Lines</w:t>
            </w:r>
            <w:r>
              <w:rPr>
                <w:noProof/>
                <w:webHidden/>
              </w:rPr>
              <w:tab/>
            </w:r>
            <w:r>
              <w:rPr>
                <w:noProof/>
                <w:webHidden/>
              </w:rPr>
              <w:fldChar w:fldCharType="begin"/>
            </w:r>
            <w:r>
              <w:rPr>
                <w:noProof/>
                <w:webHidden/>
              </w:rPr>
              <w:instrText xml:space="preserve"> PAGEREF _Toc172030620 \h </w:instrText>
            </w:r>
            <w:r>
              <w:rPr>
                <w:noProof/>
                <w:webHidden/>
              </w:rPr>
            </w:r>
            <w:r>
              <w:rPr>
                <w:noProof/>
                <w:webHidden/>
              </w:rPr>
              <w:fldChar w:fldCharType="separate"/>
            </w:r>
            <w:r>
              <w:rPr>
                <w:noProof/>
                <w:webHidden/>
              </w:rPr>
              <w:t>20</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21" w:history="1">
            <w:r>
              <w:rPr>
                <w:rStyle w:val="Hyperlink"/>
                <w:noProof/>
              </w:rPr>
              <w:t>13.2 Serious Gang Violence</w:t>
            </w:r>
            <w:r>
              <w:rPr>
                <w:noProof/>
                <w:webHidden/>
              </w:rPr>
              <w:tab/>
            </w:r>
            <w:r>
              <w:rPr>
                <w:noProof/>
                <w:webHidden/>
              </w:rPr>
              <w:fldChar w:fldCharType="begin"/>
            </w:r>
            <w:r>
              <w:rPr>
                <w:noProof/>
                <w:webHidden/>
              </w:rPr>
              <w:instrText xml:space="preserve"> PAGEREF _Toc172030621 \h </w:instrText>
            </w:r>
            <w:r>
              <w:rPr>
                <w:noProof/>
                <w:webHidden/>
              </w:rPr>
            </w:r>
            <w:r>
              <w:rPr>
                <w:noProof/>
                <w:webHidden/>
              </w:rPr>
              <w:fldChar w:fldCharType="separate"/>
            </w:r>
            <w:r>
              <w:rPr>
                <w:noProof/>
                <w:webHidden/>
              </w:rPr>
              <w:t>21</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22" w:history="1">
            <w:r>
              <w:rPr>
                <w:rStyle w:val="Hyperlink"/>
                <w:noProof/>
              </w:rPr>
              <w:t>13.3 Modern Slavery</w:t>
            </w:r>
            <w:r>
              <w:rPr>
                <w:noProof/>
                <w:webHidden/>
              </w:rPr>
              <w:tab/>
            </w:r>
            <w:r>
              <w:rPr>
                <w:noProof/>
                <w:webHidden/>
              </w:rPr>
              <w:fldChar w:fldCharType="begin"/>
            </w:r>
            <w:r>
              <w:rPr>
                <w:noProof/>
                <w:webHidden/>
              </w:rPr>
              <w:instrText xml:space="preserve"> PAGEREF _Toc172030622 \h </w:instrText>
            </w:r>
            <w:r>
              <w:rPr>
                <w:noProof/>
                <w:webHidden/>
              </w:rPr>
            </w:r>
            <w:r>
              <w:rPr>
                <w:noProof/>
                <w:webHidden/>
              </w:rPr>
              <w:fldChar w:fldCharType="separate"/>
            </w:r>
            <w:r>
              <w:rPr>
                <w:noProof/>
                <w:webHidden/>
              </w:rPr>
              <w:t>21</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23" w:history="1">
            <w:r>
              <w:rPr>
                <w:rStyle w:val="Hyperlink"/>
                <w:noProof/>
              </w:rPr>
              <w:t>13.4 Female Genital Mutilation</w:t>
            </w:r>
            <w:r>
              <w:rPr>
                <w:noProof/>
                <w:webHidden/>
              </w:rPr>
              <w:tab/>
            </w:r>
            <w:r>
              <w:rPr>
                <w:noProof/>
                <w:webHidden/>
              </w:rPr>
              <w:fldChar w:fldCharType="begin"/>
            </w:r>
            <w:r>
              <w:rPr>
                <w:noProof/>
                <w:webHidden/>
              </w:rPr>
              <w:instrText xml:space="preserve"> PAGEREF _Toc172030623 \h </w:instrText>
            </w:r>
            <w:r>
              <w:rPr>
                <w:noProof/>
                <w:webHidden/>
              </w:rPr>
            </w:r>
            <w:r>
              <w:rPr>
                <w:noProof/>
                <w:webHidden/>
              </w:rPr>
              <w:fldChar w:fldCharType="separate"/>
            </w:r>
            <w:r>
              <w:rPr>
                <w:noProof/>
                <w:webHidden/>
              </w:rPr>
              <w:t>21</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24" w:history="1">
            <w:r>
              <w:rPr>
                <w:rStyle w:val="Hyperlink"/>
                <w:noProof/>
              </w:rPr>
              <w:t>13.5 Preventing Radicalisation</w:t>
            </w:r>
            <w:r>
              <w:rPr>
                <w:noProof/>
                <w:webHidden/>
              </w:rPr>
              <w:tab/>
            </w:r>
            <w:r>
              <w:rPr>
                <w:noProof/>
                <w:webHidden/>
              </w:rPr>
              <w:fldChar w:fldCharType="begin"/>
            </w:r>
            <w:r>
              <w:rPr>
                <w:noProof/>
                <w:webHidden/>
              </w:rPr>
              <w:instrText xml:space="preserve"> PAGEREF _Toc172030624 \h </w:instrText>
            </w:r>
            <w:r>
              <w:rPr>
                <w:noProof/>
                <w:webHidden/>
              </w:rPr>
            </w:r>
            <w:r>
              <w:rPr>
                <w:noProof/>
                <w:webHidden/>
              </w:rPr>
              <w:fldChar w:fldCharType="separate"/>
            </w:r>
            <w:r>
              <w:rPr>
                <w:noProof/>
                <w:webHidden/>
              </w:rPr>
              <w:t>22</w:t>
            </w:r>
            <w:r>
              <w:rPr>
                <w:noProof/>
                <w:webHidden/>
              </w:rPr>
              <w:fldChar w:fldCharType="end"/>
            </w:r>
          </w:hyperlink>
        </w:p>
        <w:p>
          <w:pPr>
            <w:pStyle w:val="TOC1"/>
            <w:rPr>
              <w:rFonts w:asciiTheme="minorHAnsi" w:eastAsiaTheme="minorEastAsia" w:hAnsiTheme="minorHAnsi" w:cstheme="minorBidi"/>
              <w:noProof/>
              <w:lang w:val="en-GB"/>
            </w:rPr>
          </w:pPr>
          <w:hyperlink w:anchor="_Toc172030625" w:history="1">
            <w:r>
              <w:rPr>
                <w:rStyle w:val="Hyperlink"/>
                <w:noProof/>
              </w:rPr>
              <w:t>Part 2B - Competent: Recognising the Risks from Online Activity</w:t>
            </w:r>
            <w:r>
              <w:rPr>
                <w:noProof/>
                <w:webHidden/>
              </w:rPr>
              <w:tab/>
            </w:r>
            <w:r>
              <w:rPr>
                <w:noProof/>
                <w:webHidden/>
              </w:rPr>
              <w:fldChar w:fldCharType="begin"/>
            </w:r>
            <w:r>
              <w:rPr>
                <w:noProof/>
                <w:webHidden/>
              </w:rPr>
              <w:instrText xml:space="preserve"> PAGEREF _Toc172030625 \h </w:instrText>
            </w:r>
            <w:r>
              <w:rPr>
                <w:noProof/>
                <w:webHidden/>
              </w:rPr>
            </w:r>
            <w:r>
              <w:rPr>
                <w:noProof/>
                <w:webHidden/>
              </w:rPr>
              <w:fldChar w:fldCharType="separate"/>
            </w:r>
            <w:r>
              <w:rPr>
                <w:noProof/>
                <w:webHidden/>
              </w:rPr>
              <w:t>23</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26" w:history="1">
            <w:r>
              <w:rPr>
                <w:rStyle w:val="Hyperlink"/>
                <w:noProof/>
              </w:rPr>
              <w:t>14.1 Online safety and the use of mobile technology</w:t>
            </w:r>
            <w:r>
              <w:rPr>
                <w:noProof/>
                <w:webHidden/>
              </w:rPr>
              <w:tab/>
            </w:r>
            <w:r>
              <w:rPr>
                <w:noProof/>
                <w:webHidden/>
              </w:rPr>
              <w:fldChar w:fldCharType="begin"/>
            </w:r>
            <w:r>
              <w:rPr>
                <w:noProof/>
                <w:webHidden/>
              </w:rPr>
              <w:instrText xml:space="preserve"> PAGEREF _Toc172030626 \h </w:instrText>
            </w:r>
            <w:r>
              <w:rPr>
                <w:noProof/>
                <w:webHidden/>
              </w:rPr>
            </w:r>
            <w:r>
              <w:rPr>
                <w:noProof/>
                <w:webHidden/>
              </w:rPr>
              <w:fldChar w:fldCharType="separate"/>
            </w:r>
            <w:r>
              <w:rPr>
                <w:noProof/>
                <w:webHidden/>
              </w:rPr>
              <w:t>23</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27" w:history="1">
            <w:r>
              <w:rPr>
                <w:rStyle w:val="Hyperlink"/>
                <w:noProof/>
              </w:rPr>
              <w:t>14.2 Filtering and Monitoring</w:t>
            </w:r>
            <w:r>
              <w:rPr>
                <w:noProof/>
                <w:webHidden/>
              </w:rPr>
              <w:tab/>
            </w:r>
            <w:r>
              <w:rPr>
                <w:noProof/>
                <w:webHidden/>
              </w:rPr>
              <w:fldChar w:fldCharType="begin"/>
            </w:r>
            <w:r>
              <w:rPr>
                <w:noProof/>
                <w:webHidden/>
              </w:rPr>
              <w:instrText xml:space="preserve"> PAGEREF _Toc172030627 \h </w:instrText>
            </w:r>
            <w:r>
              <w:rPr>
                <w:noProof/>
                <w:webHidden/>
              </w:rPr>
            </w:r>
            <w:r>
              <w:rPr>
                <w:noProof/>
                <w:webHidden/>
              </w:rPr>
              <w:fldChar w:fldCharType="separate"/>
            </w:r>
            <w:r>
              <w:rPr>
                <w:noProof/>
                <w:webHidden/>
              </w:rPr>
              <w:t>25</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28" w:history="1">
            <w:r>
              <w:rPr>
                <w:rStyle w:val="Hyperlink"/>
                <w:noProof/>
              </w:rPr>
              <w:t>14.3 Artificial intelligence (AI)</w:t>
            </w:r>
            <w:r>
              <w:rPr>
                <w:noProof/>
                <w:webHidden/>
              </w:rPr>
              <w:tab/>
            </w:r>
            <w:r>
              <w:rPr>
                <w:noProof/>
                <w:webHidden/>
              </w:rPr>
              <w:fldChar w:fldCharType="begin"/>
            </w:r>
            <w:r>
              <w:rPr>
                <w:noProof/>
                <w:webHidden/>
              </w:rPr>
              <w:instrText xml:space="preserve"> PAGEREF _Toc172030628 \h </w:instrText>
            </w:r>
            <w:r>
              <w:rPr>
                <w:noProof/>
                <w:webHidden/>
              </w:rPr>
            </w:r>
            <w:r>
              <w:rPr>
                <w:noProof/>
                <w:webHidden/>
              </w:rPr>
              <w:fldChar w:fldCharType="separate"/>
            </w:r>
            <w:r>
              <w:rPr>
                <w:noProof/>
                <w:webHidden/>
              </w:rPr>
              <w:t>25</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29" w:history="1">
            <w:r>
              <w:rPr>
                <w:rStyle w:val="Hyperlink"/>
                <w:noProof/>
              </w:rPr>
              <w:t>14.4 Sharing of nudes and semi-nudes (‘sexting’)</w:t>
            </w:r>
            <w:r>
              <w:rPr>
                <w:noProof/>
                <w:webHidden/>
              </w:rPr>
              <w:tab/>
            </w:r>
            <w:r>
              <w:rPr>
                <w:noProof/>
                <w:webHidden/>
              </w:rPr>
              <w:fldChar w:fldCharType="begin"/>
            </w:r>
            <w:r>
              <w:rPr>
                <w:noProof/>
                <w:webHidden/>
              </w:rPr>
              <w:instrText xml:space="preserve"> PAGEREF _Toc172030629 \h </w:instrText>
            </w:r>
            <w:r>
              <w:rPr>
                <w:noProof/>
                <w:webHidden/>
              </w:rPr>
            </w:r>
            <w:r>
              <w:rPr>
                <w:noProof/>
                <w:webHidden/>
              </w:rPr>
              <w:fldChar w:fldCharType="separate"/>
            </w:r>
            <w:r>
              <w:rPr>
                <w:noProof/>
                <w:webHidden/>
              </w:rPr>
              <w:t>25</w:t>
            </w:r>
            <w:r>
              <w:rPr>
                <w:noProof/>
                <w:webHidden/>
              </w:rPr>
              <w:fldChar w:fldCharType="end"/>
            </w:r>
          </w:hyperlink>
        </w:p>
        <w:p>
          <w:pPr>
            <w:pStyle w:val="TOC1"/>
            <w:rPr>
              <w:rFonts w:asciiTheme="minorHAnsi" w:eastAsiaTheme="minorEastAsia" w:hAnsiTheme="minorHAnsi" w:cstheme="minorBidi"/>
              <w:noProof/>
              <w:lang w:val="en-GB"/>
            </w:rPr>
          </w:pPr>
          <w:hyperlink w:anchor="_Toc172030630" w:history="1">
            <w:r>
              <w:rPr>
                <w:rStyle w:val="Hyperlink"/>
                <w:noProof/>
              </w:rPr>
              <w:t>Part 2C - Competent: Recognising that some children have an increased risk of abuse</w:t>
            </w:r>
            <w:r>
              <w:rPr>
                <w:noProof/>
                <w:webHidden/>
              </w:rPr>
              <w:tab/>
            </w:r>
            <w:r>
              <w:rPr>
                <w:noProof/>
                <w:webHidden/>
              </w:rPr>
              <w:fldChar w:fldCharType="begin"/>
            </w:r>
            <w:r>
              <w:rPr>
                <w:noProof/>
                <w:webHidden/>
              </w:rPr>
              <w:instrText xml:space="preserve"> PAGEREF _Toc172030630 \h </w:instrText>
            </w:r>
            <w:r>
              <w:rPr>
                <w:noProof/>
                <w:webHidden/>
              </w:rPr>
            </w:r>
            <w:r>
              <w:rPr>
                <w:noProof/>
                <w:webHidden/>
              </w:rPr>
              <w:fldChar w:fldCharType="separate"/>
            </w:r>
            <w:r>
              <w:rPr>
                <w:noProof/>
                <w:webHidden/>
              </w:rPr>
              <w:t>27</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31" w:history="1">
            <w:r>
              <w:rPr>
                <w:rStyle w:val="Hyperlink"/>
                <w:noProof/>
              </w:rPr>
              <w:t>15. Attendance</w:t>
            </w:r>
            <w:r>
              <w:rPr>
                <w:noProof/>
                <w:webHidden/>
              </w:rPr>
              <w:tab/>
            </w:r>
            <w:r>
              <w:rPr>
                <w:noProof/>
                <w:webHidden/>
              </w:rPr>
              <w:fldChar w:fldCharType="begin"/>
            </w:r>
            <w:r>
              <w:rPr>
                <w:noProof/>
                <w:webHidden/>
              </w:rPr>
              <w:instrText xml:space="preserve"> PAGEREF _Toc172030631 \h </w:instrText>
            </w:r>
            <w:r>
              <w:rPr>
                <w:noProof/>
                <w:webHidden/>
              </w:rPr>
            </w:r>
            <w:r>
              <w:rPr>
                <w:noProof/>
                <w:webHidden/>
              </w:rPr>
              <w:fldChar w:fldCharType="separate"/>
            </w:r>
            <w:r>
              <w:rPr>
                <w:noProof/>
                <w:webHidden/>
              </w:rPr>
              <w:t>27</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32" w:history="1">
            <w:r>
              <w:rPr>
                <w:rStyle w:val="Hyperlink"/>
                <w:noProof/>
              </w:rPr>
              <w:t>16. Children with Special Educational Needs and Disabilities</w:t>
            </w:r>
            <w:r>
              <w:rPr>
                <w:noProof/>
                <w:webHidden/>
              </w:rPr>
              <w:tab/>
            </w:r>
            <w:r>
              <w:rPr>
                <w:noProof/>
                <w:webHidden/>
              </w:rPr>
              <w:fldChar w:fldCharType="begin"/>
            </w:r>
            <w:r>
              <w:rPr>
                <w:noProof/>
                <w:webHidden/>
              </w:rPr>
              <w:instrText xml:space="preserve"> PAGEREF _Toc172030632 \h </w:instrText>
            </w:r>
            <w:r>
              <w:rPr>
                <w:noProof/>
                <w:webHidden/>
              </w:rPr>
            </w:r>
            <w:r>
              <w:rPr>
                <w:noProof/>
                <w:webHidden/>
              </w:rPr>
              <w:fldChar w:fldCharType="separate"/>
            </w:r>
            <w:r>
              <w:rPr>
                <w:noProof/>
                <w:webHidden/>
              </w:rPr>
              <w:t>27</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33" w:history="1">
            <w:r>
              <w:rPr>
                <w:rStyle w:val="Hyperlink"/>
                <w:noProof/>
              </w:rPr>
              <w:t>17. Pupils who are Lesbian, Gay, Bisexual or Gender Questioning</w:t>
            </w:r>
            <w:r>
              <w:rPr>
                <w:noProof/>
                <w:webHidden/>
              </w:rPr>
              <w:tab/>
            </w:r>
            <w:r>
              <w:rPr>
                <w:noProof/>
                <w:webHidden/>
              </w:rPr>
              <w:fldChar w:fldCharType="begin"/>
            </w:r>
            <w:r>
              <w:rPr>
                <w:noProof/>
                <w:webHidden/>
              </w:rPr>
              <w:instrText xml:space="preserve"> PAGEREF _Toc172030633 \h </w:instrText>
            </w:r>
            <w:r>
              <w:rPr>
                <w:noProof/>
                <w:webHidden/>
              </w:rPr>
            </w:r>
            <w:r>
              <w:rPr>
                <w:noProof/>
                <w:webHidden/>
              </w:rPr>
              <w:fldChar w:fldCharType="separate"/>
            </w:r>
            <w:r>
              <w:rPr>
                <w:noProof/>
                <w:webHidden/>
              </w:rPr>
              <w:t>27</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34" w:history="1">
            <w:r>
              <w:rPr>
                <w:rStyle w:val="Hyperlink"/>
                <w:noProof/>
              </w:rPr>
              <w:t>18. Pupils with a social worker</w:t>
            </w:r>
            <w:r>
              <w:rPr>
                <w:noProof/>
                <w:webHidden/>
              </w:rPr>
              <w:tab/>
            </w:r>
            <w:r>
              <w:rPr>
                <w:noProof/>
                <w:webHidden/>
              </w:rPr>
              <w:fldChar w:fldCharType="begin"/>
            </w:r>
            <w:r>
              <w:rPr>
                <w:noProof/>
                <w:webHidden/>
              </w:rPr>
              <w:instrText xml:space="preserve"> PAGEREF _Toc172030634 \h </w:instrText>
            </w:r>
            <w:r>
              <w:rPr>
                <w:noProof/>
                <w:webHidden/>
              </w:rPr>
            </w:r>
            <w:r>
              <w:rPr>
                <w:noProof/>
                <w:webHidden/>
              </w:rPr>
              <w:fldChar w:fldCharType="separate"/>
            </w:r>
            <w:r>
              <w:rPr>
                <w:noProof/>
                <w:webHidden/>
              </w:rPr>
              <w:t>28</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35" w:history="1">
            <w:r>
              <w:rPr>
                <w:rStyle w:val="Hyperlink"/>
                <w:noProof/>
              </w:rPr>
              <w:t>19. Looked-After and Previously Looked-After children</w:t>
            </w:r>
            <w:r>
              <w:rPr>
                <w:noProof/>
                <w:webHidden/>
              </w:rPr>
              <w:tab/>
            </w:r>
            <w:r>
              <w:rPr>
                <w:noProof/>
                <w:webHidden/>
              </w:rPr>
              <w:fldChar w:fldCharType="begin"/>
            </w:r>
            <w:r>
              <w:rPr>
                <w:noProof/>
                <w:webHidden/>
              </w:rPr>
              <w:instrText xml:space="preserve"> PAGEREF _Toc172030635 \h </w:instrText>
            </w:r>
            <w:r>
              <w:rPr>
                <w:noProof/>
                <w:webHidden/>
              </w:rPr>
            </w:r>
            <w:r>
              <w:rPr>
                <w:noProof/>
                <w:webHidden/>
              </w:rPr>
              <w:fldChar w:fldCharType="separate"/>
            </w:r>
            <w:r>
              <w:rPr>
                <w:noProof/>
                <w:webHidden/>
              </w:rPr>
              <w:t>28</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36" w:history="1">
            <w:r>
              <w:rPr>
                <w:rStyle w:val="Hyperlink"/>
                <w:noProof/>
              </w:rPr>
              <w:t>20. Virtual School Heads</w:t>
            </w:r>
            <w:r>
              <w:rPr>
                <w:noProof/>
                <w:webHidden/>
              </w:rPr>
              <w:tab/>
            </w:r>
            <w:r>
              <w:rPr>
                <w:noProof/>
                <w:webHidden/>
              </w:rPr>
              <w:fldChar w:fldCharType="begin"/>
            </w:r>
            <w:r>
              <w:rPr>
                <w:noProof/>
                <w:webHidden/>
              </w:rPr>
              <w:instrText xml:space="preserve"> PAGEREF _Toc172030636 \h </w:instrText>
            </w:r>
            <w:r>
              <w:rPr>
                <w:noProof/>
                <w:webHidden/>
              </w:rPr>
            </w:r>
            <w:r>
              <w:rPr>
                <w:noProof/>
                <w:webHidden/>
              </w:rPr>
              <w:fldChar w:fldCharType="separate"/>
            </w:r>
            <w:r>
              <w:rPr>
                <w:noProof/>
                <w:webHidden/>
              </w:rPr>
              <w:t>29</w:t>
            </w:r>
            <w:r>
              <w:rPr>
                <w:noProof/>
                <w:webHidden/>
              </w:rPr>
              <w:fldChar w:fldCharType="end"/>
            </w:r>
          </w:hyperlink>
        </w:p>
        <w:p>
          <w:pPr>
            <w:pStyle w:val="TOC1"/>
            <w:rPr>
              <w:rFonts w:asciiTheme="minorHAnsi" w:eastAsiaTheme="minorEastAsia" w:hAnsiTheme="minorHAnsi" w:cstheme="minorBidi"/>
              <w:noProof/>
              <w:lang w:val="en-GB"/>
            </w:rPr>
          </w:pPr>
          <w:hyperlink w:anchor="_Toc172030637" w:history="1">
            <w:r>
              <w:rPr>
                <w:rStyle w:val="Hyperlink"/>
                <w:b/>
                <w:noProof/>
                <w:color w:val="FF0000"/>
              </w:rPr>
              <w:t>Part Three: Taking Action</w:t>
            </w:r>
            <w:r>
              <w:rPr>
                <w:noProof/>
                <w:webHidden/>
              </w:rPr>
              <w:tab/>
            </w:r>
            <w:r>
              <w:rPr>
                <w:noProof/>
                <w:webHidden/>
              </w:rPr>
              <w:fldChar w:fldCharType="begin"/>
            </w:r>
            <w:r>
              <w:rPr>
                <w:noProof/>
                <w:webHidden/>
              </w:rPr>
              <w:instrText xml:space="preserve"> PAGEREF _Toc172030637 \h </w:instrText>
            </w:r>
            <w:r>
              <w:rPr>
                <w:noProof/>
                <w:webHidden/>
              </w:rPr>
            </w:r>
            <w:r>
              <w:rPr>
                <w:noProof/>
                <w:webHidden/>
              </w:rPr>
              <w:fldChar w:fldCharType="separate"/>
            </w:r>
            <w:r>
              <w:rPr>
                <w:noProof/>
                <w:webHidden/>
              </w:rPr>
              <w:t>29</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38" w:history="1">
            <w:r>
              <w:rPr>
                <w:rStyle w:val="Hyperlink"/>
                <w:noProof/>
              </w:rPr>
              <w:t>21. Guiding principles, the seven R’s</w:t>
            </w:r>
            <w:r>
              <w:rPr>
                <w:noProof/>
                <w:webHidden/>
              </w:rPr>
              <w:tab/>
            </w:r>
            <w:r>
              <w:rPr>
                <w:noProof/>
                <w:webHidden/>
              </w:rPr>
              <w:fldChar w:fldCharType="begin"/>
            </w:r>
            <w:r>
              <w:rPr>
                <w:noProof/>
                <w:webHidden/>
              </w:rPr>
              <w:instrText xml:space="preserve"> PAGEREF _Toc172030638 \h </w:instrText>
            </w:r>
            <w:r>
              <w:rPr>
                <w:noProof/>
                <w:webHidden/>
              </w:rPr>
            </w:r>
            <w:r>
              <w:rPr>
                <w:noProof/>
                <w:webHidden/>
              </w:rPr>
              <w:fldChar w:fldCharType="separate"/>
            </w:r>
            <w:r>
              <w:rPr>
                <w:noProof/>
                <w:webHidden/>
              </w:rPr>
              <w:t>29</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39" w:history="1">
            <w:r>
              <w:rPr>
                <w:rStyle w:val="Hyperlink"/>
                <w:noProof/>
              </w:rPr>
              <w:t>22. If a child shares a concern…</w:t>
            </w:r>
            <w:r>
              <w:rPr>
                <w:noProof/>
                <w:webHidden/>
              </w:rPr>
              <w:tab/>
            </w:r>
            <w:r>
              <w:rPr>
                <w:noProof/>
                <w:webHidden/>
              </w:rPr>
              <w:fldChar w:fldCharType="begin"/>
            </w:r>
            <w:r>
              <w:rPr>
                <w:noProof/>
                <w:webHidden/>
              </w:rPr>
              <w:instrText xml:space="preserve"> PAGEREF _Toc172030639 \h </w:instrText>
            </w:r>
            <w:r>
              <w:rPr>
                <w:noProof/>
                <w:webHidden/>
              </w:rPr>
            </w:r>
            <w:r>
              <w:rPr>
                <w:noProof/>
                <w:webHidden/>
              </w:rPr>
              <w:fldChar w:fldCharType="separate"/>
            </w:r>
            <w:r>
              <w:rPr>
                <w:noProof/>
                <w:webHidden/>
              </w:rPr>
              <w:t>29</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40" w:history="1">
            <w:r>
              <w:rPr>
                <w:rStyle w:val="Hyperlink"/>
                <w:noProof/>
              </w:rPr>
              <w:t>23. If you have concerns about Mental Health</w:t>
            </w:r>
            <w:r>
              <w:rPr>
                <w:noProof/>
                <w:webHidden/>
              </w:rPr>
              <w:tab/>
            </w:r>
            <w:r>
              <w:rPr>
                <w:noProof/>
                <w:webHidden/>
              </w:rPr>
              <w:fldChar w:fldCharType="begin"/>
            </w:r>
            <w:r>
              <w:rPr>
                <w:noProof/>
                <w:webHidden/>
              </w:rPr>
              <w:instrText xml:space="preserve"> PAGEREF _Toc172030640 \h </w:instrText>
            </w:r>
            <w:r>
              <w:rPr>
                <w:noProof/>
                <w:webHidden/>
              </w:rPr>
            </w:r>
            <w:r>
              <w:rPr>
                <w:noProof/>
                <w:webHidden/>
              </w:rPr>
              <w:fldChar w:fldCharType="separate"/>
            </w:r>
            <w:r>
              <w:rPr>
                <w:noProof/>
                <w:webHidden/>
              </w:rPr>
              <w:t>31</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41" w:history="1">
            <w:r>
              <w:rPr>
                <w:rStyle w:val="Hyperlink"/>
                <w:noProof/>
              </w:rPr>
              <w:t>24. Dealing with allegations of child-on-child abuse</w:t>
            </w:r>
            <w:r>
              <w:rPr>
                <w:noProof/>
                <w:webHidden/>
              </w:rPr>
              <w:tab/>
            </w:r>
            <w:r>
              <w:rPr>
                <w:noProof/>
                <w:webHidden/>
              </w:rPr>
              <w:fldChar w:fldCharType="begin"/>
            </w:r>
            <w:r>
              <w:rPr>
                <w:noProof/>
                <w:webHidden/>
              </w:rPr>
              <w:instrText xml:space="preserve"> PAGEREF _Toc172030641 \h </w:instrText>
            </w:r>
            <w:r>
              <w:rPr>
                <w:noProof/>
                <w:webHidden/>
              </w:rPr>
            </w:r>
            <w:r>
              <w:rPr>
                <w:noProof/>
                <w:webHidden/>
              </w:rPr>
              <w:fldChar w:fldCharType="separate"/>
            </w:r>
            <w:r>
              <w:rPr>
                <w:noProof/>
                <w:webHidden/>
              </w:rPr>
              <w:t>31</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42" w:history="1">
            <w:r>
              <w:rPr>
                <w:rStyle w:val="Hyperlink"/>
                <w:noProof/>
              </w:rPr>
              <w:t>24. Early Help</w:t>
            </w:r>
            <w:r>
              <w:rPr>
                <w:noProof/>
                <w:webHidden/>
              </w:rPr>
              <w:tab/>
            </w:r>
            <w:r>
              <w:rPr>
                <w:noProof/>
                <w:webHidden/>
              </w:rPr>
              <w:fldChar w:fldCharType="begin"/>
            </w:r>
            <w:r>
              <w:rPr>
                <w:noProof/>
                <w:webHidden/>
              </w:rPr>
              <w:instrText xml:space="preserve"> PAGEREF _Toc172030642 \h </w:instrText>
            </w:r>
            <w:r>
              <w:rPr>
                <w:noProof/>
                <w:webHidden/>
              </w:rPr>
            </w:r>
            <w:r>
              <w:rPr>
                <w:noProof/>
                <w:webHidden/>
              </w:rPr>
              <w:fldChar w:fldCharType="separate"/>
            </w:r>
            <w:r>
              <w:rPr>
                <w:noProof/>
                <w:webHidden/>
              </w:rPr>
              <w:t>32</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43" w:history="1">
            <w:r>
              <w:rPr>
                <w:rStyle w:val="Hyperlink"/>
                <w:noProof/>
              </w:rPr>
              <w:t>25. Reporting systems for our pupils</w:t>
            </w:r>
            <w:r>
              <w:rPr>
                <w:noProof/>
                <w:webHidden/>
              </w:rPr>
              <w:tab/>
            </w:r>
            <w:r>
              <w:rPr>
                <w:noProof/>
                <w:webHidden/>
              </w:rPr>
              <w:fldChar w:fldCharType="begin"/>
            </w:r>
            <w:r>
              <w:rPr>
                <w:noProof/>
                <w:webHidden/>
              </w:rPr>
              <w:instrText xml:space="preserve"> PAGEREF _Toc172030643 \h </w:instrText>
            </w:r>
            <w:r>
              <w:rPr>
                <w:noProof/>
                <w:webHidden/>
              </w:rPr>
            </w:r>
            <w:r>
              <w:rPr>
                <w:noProof/>
                <w:webHidden/>
              </w:rPr>
              <w:fldChar w:fldCharType="separate"/>
            </w:r>
            <w:r>
              <w:rPr>
                <w:noProof/>
                <w:webHidden/>
              </w:rPr>
              <w:t>34</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44" w:history="1">
            <w:r>
              <w:rPr>
                <w:rStyle w:val="Hyperlink"/>
                <w:noProof/>
              </w:rPr>
              <w:t>26. Notifying parents</w:t>
            </w:r>
            <w:r>
              <w:rPr>
                <w:noProof/>
                <w:webHidden/>
              </w:rPr>
              <w:tab/>
            </w:r>
            <w:r>
              <w:rPr>
                <w:noProof/>
                <w:webHidden/>
              </w:rPr>
              <w:fldChar w:fldCharType="begin"/>
            </w:r>
            <w:r>
              <w:rPr>
                <w:noProof/>
                <w:webHidden/>
              </w:rPr>
              <w:instrText xml:space="preserve"> PAGEREF _Toc172030644 \h </w:instrText>
            </w:r>
            <w:r>
              <w:rPr>
                <w:noProof/>
                <w:webHidden/>
              </w:rPr>
            </w:r>
            <w:r>
              <w:rPr>
                <w:noProof/>
                <w:webHidden/>
              </w:rPr>
              <w:fldChar w:fldCharType="separate"/>
            </w:r>
            <w:r>
              <w:rPr>
                <w:noProof/>
                <w:webHidden/>
              </w:rPr>
              <w:t>35</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45" w:history="1">
            <w:r>
              <w:rPr>
                <w:rStyle w:val="Hyperlink"/>
                <w:noProof/>
              </w:rPr>
              <w:t>27. Record-keeping</w:t>
            </w:r>
            <w:r>
              <w:rPr>
                <w:noProof/>
                <w:webHidden/>
              </w:rPr>
              <w:tab/>
            </w:r>
            <w:r>
              <w:rPr>
                <w:noProof/>
                <w:webHidden/>
              </w:rPr>
              <w:fldChar w:fldCharType="begin"/>
            </w:r>
            <w:r>
              <w:rPr>
                <w:noProof/>
                <w:webHidden/>
              </w:rPr>
              <w:instrText xml:space="preserve"> PAGEREF _Toc172030645 \h </w:instrText>
            </w:r>
            <w:r>
              <w:rPr>
                <w:noProof/>
                <w:webHidden/>
              </w:rPr>
            </w:r>
            <w:r>
              <w:rPr>
                <w:noProof/>
                <w:webHidden/>
              </w:rPr>
              <w:fldChar w:fldCharType="separate"/>
            </w:r>
            <w:r>
              <w:rPr>
                <w:noProof/>
                <w:webHidden/>
              </w:rPr>
              <w:t>35</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46" w:history="1">
            <w:r>
              <w:rPr>
                <w:rStyle w:val="Hyperlink"/>
                <w:noProof/>
              </w:rPr>
              <w:t>28. If you have Concerns about a Staff Member, Supply Teacher, Volunteer or Contractor / Allegations Against Staff</w:t>
            </w:r>
            <w:r>
              <w:rPr>
                <w:noProof/>
                <w:webHidden/>
              </w:rPr>
              <w:tab/>
            </w:r>
            <w:r>
              <w:rPr>
                <w:noProof/>
                <w:webHidden/>
              </w:rPr>
              <w:fldChar w:fldCharType="begin"/>
            </w:r>
            <w:r>
              <w:rPr>
                <w:noProof/>
                <w:webHidden/>
              </w:rPr>
              <w:instrText xml:space="preserve"> PAGEREF _Toc172030646 \h </w:instrText>
            </w:r>
            <w:r>
              <w:rPr>
                <w:noProof/>
                <w:webHidden/>
              </w:rPr>
            </w:r>
            <w:r>
              <w:rPr>
                <w:noProof/>
                <w:webHidden/>
              </w:rPr>
              <w:fldChar w:fldCharType="separate"/>
            </w:r>
            <w:r>
              <w:rPr>
                <w:noProof/>
                <w:webHidden/>
              </w:rPr>
              <w:t>36</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47" w:history="1">
            <w:r>
              <w:rPr>
                <w:rStyle w:val="Hyperlink"/>
                <w:noProof/>
              </w:rPr>
              <w:t>28.1 Abuse of Position of Trust</w:t>
            </w:r>
            <w:r>
              <w:rPr>
                <w:noProof/>
                <w:webHidden/>
              </w:rPr>
              <w:tab/>
            </w:r>
            <w:r>
              <w:rPr>
                <w:noProof/>
                <w:webHidden/>
              </w:rPr>
              <w:fldChar w:fldCharType="begin"/>
            </w:r>
            <w:r>
              <w:rPr>
                <w:noProof/>
                <w:webHidden/>
              </w:rPr>
              <w:instrText xml:space="preserve"> PAGEREF _Toc172030647 \h </w:instrText>
            </w:r>
            <w:r>
              <w:rPr>
                <w:noProof/>
                <w:webHidden/>
              </w:rPr>
            </w:r>
            <w:r>
              <w:rPr>
                <w:noProof/>
                <w:webHidden/>
              </w:rPr>
              <w:fldChar w:fldCharType="separate"/>
            </w:r>
            <w:r>
              <w:rPr>
                <w:noProof/>
                <w:webHidden/>
              </w:rPr>
              <w:t>36</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48" w:history="1">
            <w:r>
              <w:rPr>
                <w:rStyle w:val="Hyperlink"/>
                <w:noProof/>
              </w:rPr>
              <w:t>28.2 Transferable Risk</w:t>
            </w:r>
            <w:r>
              <w:rPr>
                <w:noProof/>
                <w:webHidden/>
              </w:rPr>
              <w:tab/>
            </w:r>
            <w:r>
              <w:rPr>
                <w:noProof/>
                <w:webHidden/>
              </w:rPr>
              <w:fldChar w:fldCharType="begin"/>
            </w:r>
            <w:r>
              <w:rPr>
                <w:noProof/>
                <w:webHidden/>
              </w:rPr>
              <w:instrText xml:space="preserve"> PAGEREF _Toc172030648 \h </w:instrText>
            </w:r>
            <w:r>
              <w:rPr>
                <w:noProof/>
                <w:webHidden/>
              </w:rPr>
            </w:r>
            <w:r>
              <w:rPr>
                <w:noProof/>
                <w:webHidden/>
              </w:rPr>
              <w:fldChar w:fldCharType="separate"/>
            </w:r>
            <w:r>
              <w:rPr>
                <w:noProof/>
                <w:webHidden/>
              </w:rPr>
              <w:t>36</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49" w:history="1">
            <w:r>
              <w:rPr>
                <w:rStyle w:val="Hyperlink"/>
                <w:noProof/>
              </w:rPr>
              <w:t>29. Complaints and concerns about school safeguarding policies</w:t>
            </w:r>
            <w:r>
              <w:rPr>
                <w:noProof/>
                <w:webHidden/>
              </w:rPr>
              <w:tab/>
            </w:r>
            <w:r>
              <w:rPr>
                <w:noProof/>
                <w:webHidden/>
              </w:rPr>
              <w:fldChar w:fldCharType="begin"/>
            </w:r>
            <w:r>
              <w:rPr>
                <w:noProof/>
                <w:webHidden/>
              </w:rPr>
              <w:instrText xml:space="preserve"> PAGEREF _Toc172030649 \h </w:instrText>
            </w:r>
            <w:r>
              <w:rPr>
                <w:noProof/>
                <w:webHidden/>
              </w:rPr>
            </w:r>
            <w:r>
              <w:rPr>
                <w:noProof/>
                <w:webHidden/>
              </w:rPr>
              <w:fldChar w:fldCharType="separate"/>
            </w:r>
            <w:r>
              <w:rPr>
                <w:noProof/>
                <w:webHidden/>
              </w:rPr>
              <w:t>37</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50" w:history="1">
            <w:r>
              <w:rPr>
                <w:rStyle w:val="Hyperlink"/>
                <w:noProof/>
              </w:rPr>
              <w:t>29.1 Complaints against staff</w:t>
            </w:r>
            <w:r>
              <w:rPr>
                <w:noProof/>
                <w:webHidden/>
              </w:rPr>
              <w:tab/>
            </w:r>
            <w:r>
              <w:rPr>
                <w:noProof/>
                <w:webHidden/>
              </w:rPr>
              <w:fldChar w:fldCharType="begin"/>
            </w:r>
            <w:r>
              <w:rPr>
                <w:noProof/>
                <w:webHidden/>
              </w:rPr>
              <w:instrText xml:space="preserve"> PAGEREF _Toc172030650 \h </w:instrText>
            </w:r>
            <w:r>
              <w:rPr>
                <w:noProof/>
                <w:webHidden/>
              </w:rPr>
            </w:r>
            <w:r>
              <w:rPr>
                <w:noProof/>
                <w:webHidden/>
              </w:rPr>
              <w:fldChar w:fldCharType="separate"/>
            </w:r>
            <w:r>
              <w:rPr>
                <w:noProof/>
                <w:webHidden/>
              </w:rPr>
              <w:t>37</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51" w:history="1">
            <w:r>
              <w:rPr>
                <w:rStyle w:val="Hyperlink"/>
                <w:noProof/>
              </w:rPr>
              <w:t>29.2 Other complaints</w:t>
            </w:r>
            <w:r>
              <w:rPr>
                <w:noProof/>
                <w:webHidden/>
              </w:rPr>
              <w:tab/>
            </w:r>
            <w:r>
              <w:rPr>
                <w:noProof/>
                <w:webHidden/>
              </w:rPr>
              <w:fldChar w:fldCharType="begin"/>
            </w:r>
            <w:r>
              <w:rPr>
                <w:noProof/>
                <w:webHidden/>
              </w:rPr>
              <w:instrText xml:space="preserve"> PAGEREF _Toc172030651 \h </w:instrText>
            </w:r>
            <w:r>
              <w:rPr>
                <w:noProof/>
                <w:webHidden/>
              </w:rPr>
            </w:r>
            <w:r>
              <w:rPr>
                <w:noProof/>
                <w:webHidden/>
              </w:rPr>
              <w:fldChar w:fldCharType="separate"/>
            </w:r>
            <w:r>
              <w:rPr>
                <w:noProof/>
                <w:webHidden/>
              </w:rPr>
              <w:t>37</w:t>
            </w:r>
            <w:r>
              <w:rPr>
                <w:noProof/>
                <w:webHidden/>
              </w:rPr>
              <w:fldChar w:fldCharType="end"/>
            </w:r>
          </w:hyperlink>
        </w:p>
        <w:p>
          <w:pPr>
            <w:pStyle w:val="TOC3"/>
            <w:tabs>
              <w:tab w:val="right" w:leader="dot" w:pos="9742"/>
            </w:tabs>
            <w:rPr>
              <w:rFonts w:asciiTheme="minorHAnsi" w:eastAsiaTheme="minorEastAsia" w:hAnsiTheme="minorHAnsi" w:cstheme="minorBidi"/>
              <w:noProof/>
              <w:lang w:val="en-GB"/>
            </w:rPr>
          </w:pPr>
          <w:hyperlink w:anchor="_Toc172030652" w:history="1">
            <w:r>
              <w:rPr>
                <w:rStyle w:val="Hyperlink"/>
                <w:noProof/>
              </w:rPr>
              <w:t>29.3 Whistleblowing</w:t>
            </w:r>
            <w:r>
              <w:rPr>
                <w:noProof/>
                <w:webHidden/>
              </w:rPr>
              <w:tab/>
            </w:r>
            <w:r>
              <w:rPr>
                <w:noProof/>
                <w:webHidden/>
              </w:rPr>
              <w:fldChar w:fldCharType="begin"/>
            </w:r>
            <w:r>
              <w:rPr>
                <w:noProof/>
                <w:webHidden/>
              </w:rPr>
              <w:instrText xml:space="preserve"> PAGEREF _Toc172030652 \h </w:instrText>
            </w:r>
            <w:r>
              <w:rPr>
                <w:noProof/>
                <w:webHidden/>
              </w:rPr>
            </w:r>
            <w:r>
              <w:rPr>
                <w:noProof/>
                <w:webHidden/>
              </w:rPr>
              <w:fldChar w:fldCharType="separate"/>
            </w:r>
            <w:r>
              <w:rPr>
                <w:noProof/>
                <w:webHidden/>
              </w:rPr>
              <w:t>37</w:t>
            </w:r>
            <w:r>
              <w:rPr>
                <w:noProof/>
                <w:webHidden/>
              </w:rPr>
              <w:fldChar w:fldCharType="end"/>
            </w:r>
          </w:hyperlink>
        </w:p>
        <w:p>
          <w:pPr>
            <w:pStyle w:val="TOC1"/>
            <w:rPr>
              <w:rFonts w:asciiTheme="minorHAnsi" w:eastAsiaTheme="minorEastAsia" w:hAnsiTheme="minorHAnsi" w:cstheme="minorBidi"/>
              <w:noProof/>
              <w:lang w:val="en-GB"/>
            </w:rPr>
          </w:pPr>
          <w:hyperlink w:anchor="_Toc172030653" w:history="1">
            <w:r>
              <w:rPr>
                <w:rStyle w:val="Hyperlink"/>
                <w:noProof/>
              </w:rPr>
              <w:t>Appendix 1: Safeguarding Issues</w:t>
            </w:r>
            <w:r>
              <w:rPr>
                <w:noProof/>
                <w:webHidden/>
              </w:rPr>
              <w:tab/>
            </w:r>
            <w:r>
              <w:rPr>
                <w:noProof/>
                <w:webHidden/>
              </w:rPr>
              <w:fldChar w:fldCharType="begin"/>
            </w:r>
            <w:r>
              <w:rPr>
                <w:noProof/>
                <w:webHidden/>
              </w:rPr>
              <w:instrText xml:space="preserve"> PAGEREF _Toc172030653 \h </w:instrText>
            </w:r>
            <w:r>
              <w:rPr>
                <w:noProof/>
                <w:webHidden/>
              </w:rPr>
            </w:r>
            <w:r>
              <w:rPr>
                <w:noProof/>
                <w:webHidden/>
              </w:rPr>
              <w:fldChar w:fldCharType="separate"/>
            </w:r>
            <w:r>
              <w:rPr>
                <w:noProof/>
                <w:webHidden/>
              </w:rPr>
              <w:t>38</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54" w:history="1">
            <w:r>
              <w:rPr>
                <w:rStyle w:val="Hyperlink"/>
                <w:noProof/>
              </w:rPr>
              <w:t>Homelessness</w:t>
            </w:r>
            <w:r>
              <w:rPr>
                <w:noProof/>
                <w:webHidden/>
              </w:rPr>
              <w:tab/>
            </w:r>
            <w:r>
              <w:rPr>
                <w:noProof/>
                <w:webHidden/>
              </w:rPr>
              <w:fldChar w:fldCharType="begin"/>
            </w:r>
            <w:r>
              <w:rPr>
                <w:noProof/>
                <w:webHidden/>
              </w:rPr>
              <w:instrText xml:space="preserve"> PAGEREF _Toc172030654 \h </w:instrText>
            </w:r>
            <w:r>
              <w:rPr>
                <w:noProof/>
                <w:webHidden/>
              </w:rPr>
            </w:r>
            <w:r>
              <w:rPr>
                <w:noProof/>
                <w:webHidden/>
              </w:rPr>
              <w:fldChar w:fldCharType="separate"/>
            </w:r>
            <w:r>
              <w:rPr>
                <w:noProof/>
                <w:webHidden/>
              </w:rPr>
              <w:t>38</w:t>
            </w:r>
            <w:r>
              <w:rPr>
                <w:noProof/>
                <w:webHidden/>
              </w:rPr>
              <w:fldChar w:fldCharType="end"/>
            </w:r>
          </w:hyperlink>
        </w:p>
        <w:p>
          <w:pPr>
            <w:pStyle w:val="TOC1"/>
            <w:rPr>
              <w:rFonts w:asciiTheme="minorHAnsi" w:eastAsiaTheme="minorEastAsia" w:hAnsiTheme="minorHAnsi" w:cstheme="minorBidi"/>
              <w:noProof/>
              <w:lang w:val="en-GB"/>
            </w:rPr>
          </w:pPr>
          <w:hyperlink w:anchor="_Toc172030655" w:history="1">
            <w:r>
              <w:rPr>
                <w:rStyle w:val="Hyperlink"/>
                <w:noProof/>
                <w:highlight w:val="white"/>
              </w:rPr>
              <w:t>Trigger Trio</w:t>
            </w:r>
            <w:r>
              <w:rPr>
                <w:noProof/>
                <w:webHidden/>
              </w:rPr>
              <w:tab/>
            </w:r>
            <w:r>
              <w:rPr>
                <w:noProof/>
                <w:webHidden/>
              </w:rPr>
              <w:fldChar w:fldCharType="begin"/>
            </w:r>
            <w:r>
              <w:rPr>
                <w:noProof/>
                <w:webHidden/>
              </w:rPr>
              <w:instrText xml:space="preserve"> PAGEREF _Toc172030655 \h </w:instrText>
            </w:r>
            <w:r>
              <w:rPr>
                <w:noProof/>
                <w:webHidden/>
              </w:rPr>
            </w:r>
            <w:r>
              <w:rPr>
                <w:noProof/>
                <w:webHidden/>
              </w:rPr>
              <w:fldChar w:fldCharType="separate"/>
            </w:r>
            <w:r>
              <w:rPr>
                <w:noProof/>
                <w:webHidden/>
              </w:rPr>
              <w:t>38</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56" w:history="1">
            <w:r>
              <w:rPr>
                <w:rStyle w:val="Hyperlink"/>
                <w:noProof/>
              </w:rPr>
              <w:t>Domestic abuse</w:t>
            </w:r>
            <w:r>
              <w:rPr>
                <w:noProof/>
                <w:webHidden/>
              </w:rPr>
              <w:tab/>
            </w:r>
            <w:r>
              <w:rPr>
                <w:noProof/>
                <w:webHidden/>
              </w:rPr>
              <w:fldChar w:fldCharType="begin"/>
            </w:r>
            <w:r>
              <w:rPr>
                <w:noProof/>
                <w:webHidden/>
              </w:rPr>
              <w:instrText xml:space="preserve"> PAGEREF _Toc172030656 \h </w:instrText>
            </w:r>
            <w:r>
              <w:rPr>
                <w:noProof/>
                <w:webHidden/>
              </w:rPr>
            </w:r>
            <w:r>
              <w:rPr>
                <w:noProof/>
                <w:webHidden/>
              </w:rPr>
              <w:fldChar w:fldCharType="separate"/>
            </w:r>
            <w:r>
              <w:rPr>
                <w:noProof/>
                <w:webHidden/>
              </w:rPr>
              <w:t>38</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57" w:history="1">
            <w:r>
              <w:rPr>
                <w:rStyle w:val="Hyperlink"/>
                <w:noProof/>
                <w:highlight w:val="white"/>
              </w:rPr>
              <w:t>Mental health</w:t>
            </w:r>
            <w:r>
              <w:rPr>
                <w:noProof/>
                <w:webHidden/>
              </w:rPr>
              <w:tab/>
            </w:r>
            <w:r>
              <w:rPr>
                <w:noProof/>
                <w:webHidden/>
              </w:rPr>
              <w:fldChar w:fldCharType="begin"/>
            </w:r>
            <w:r>
              <w:rPr>
                <w:noProof/>
                <w:webHidden/>
              </w:rPr>
              <w:instrText xml:space="preserve"> PAGEREF _Toc172030657 \h </w:instrText>
            </w:r>
            <w:r>
              <w:rPr>
                <w:noProof/>
                <w:webHidden/>
              </w:rPr>
            </w:r>
            <w:r>
              <w:rPr>
                <w:noProof/>
                <w:webHidden/>
              </w:rPr>
              <w:fldChar w:fldCharType="separate"/>
            </w:r>
            <w:r>
              <w:rPr>
                <w:noProof/>
                <w:webHidden/>
              </w:rPr>
              <w:t>39</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58" w:history="1">
            <w:r>
              <w:rPr>
                <w:rStyle w:val="Hyperlink"/>
                <w:noProof/>
              </w:rPr>
              <w:t>Substance Misuse Including Alcohol and Drugs</w:t>
            </w:r>
            <w:r>
              <w:rPr>
                <w:noProof/>
                <w:webHidden/>
              </w:rPr>
              <w:tab/>
            </w:r>
            <w:r>
              <w:rPr>
                <w:noProof/>
                <w:webHidden/>
              </w:rPr>
              <w:fldChar w:fldCharType="begin"/>
            </w:r>
            <w:r>
              <w:rPr>
                <w:noProof/>
                <w:webHidden/>
              </w:rPr>
              <w:instrText xml:space="preserve"> PAGEREF _Toc172030658 \h </w:instrText>
            </w:r>
            <w:r>
              <w:rPr>
                <w:noProof/>
                <w:webHidden/>
              </w:rPr>
            </w:r>
            <w:r>
              <w:rPr>
                <w:noProof/>
                <w:webHidden/>
              </w:rPr>
              <w:fldChar w:fldCharType="separate"/>
            </w:r>
            <w:r>
              <w:rPr>
                <w:noProof/>
                <w:webHidden/>
              </w:rPr>
              <w:t>40</w:t>
            </w:r>
            <w:r>
              <w:rPr>
                <w:noProof/>
                <w:webHidden/>
              </w:rPr>
              <w:fldChar w:fldCharType="end"/>
            </w:r>
          </w:hyperlink>
        </w:p>
        <w:p>
          <w:pPr>
            <w:pStyle w:val="TOC1"/>
            <w:rPr>
              <w:rFonts w:asciiTheme="minorHAnsi" w:eastAsiaTheme="minorEastAsia" w:hAnsiTheme="minorHAnsi" w:cstheme="minorBidi"/>
              <w:noProof/>
              <w:lang w:val="en-GB"/>
            </w:rPr>
          </w:pPr>
          <w:hyperlink w:anchor="_Toc172030659" w:history="1">
            <w:r>
              <w:rPr>
                <w:rStyle w:val="Hyperlink"/>
                <w:rFonts w:cstheme="minorHAnsi"/>
                <w:noProof/>
              </w:rPr>
              <w:t>Honour Based Abuse</w:t>
            </w:r>
            <w:r>
              <w:rPr>
                <w:noProof/>
                <w:webHidden/>
              </w:rPr>
              <w:tab/>
            </w:r>
            <w:r>
              <w:rPr>
                <w:noProof/>
                <w:webHidden/>
              </w:rPr>
              <w:fldChar w:fldCharType="begin"/>
            </w:r>
            <w:r>
              <w:rPr>
                <w:noProof/>
                <w:webHidden/>
              </w:rPr>
              <w:instrText xml:space="preserve"> PAGEREF _Toc172030659 \h </w:instrText>
            </w:r>
            <w:r>
              <w:rPr>
                <w:noProof/>
                <w:webHidden/>
              </w:rPr>
            </w:r>
            <w:r>
              <w:rPr>
                <w:noProof/>
                <w:webHidden/>
              </w:rPr>
              <w:fldChar w:fldCharType="separate"/>
            </w:r>
            <w:r>
              <w:rPr>
                <w:noProof/>
                <w:webHidden/>
              </w:rPr>
              <w:t>40</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60" w:history="1">
            <w:r>
              <w:rPr>
                <w:rStyle w:val="Hyperlink"/>
                <w:noProof/>
              </w:rPr>
              <w:t>Faith Abuse</w:t>
            </w:r>
            <w:r>
              <w:rPr>
                <w:noProof/>
                <w:webHidden/>
              </w:rPr>
              <w:tab/>
            </w:r>
            <w:r>
              <w:rPr>
                <w:noProof/>
                <w:webHidden/>
              </w:rPr>
              <w:fldChar w:fldCharType="begin"/>
            </w:r>
            <w:r>
              <w:rPr>
                <w:noProof/>
                <w:webHidden/>
              </w:rPr>
              <w:instrText xml:space="preserve"> PAGEREF _Toc172030660 \h </w:instrText>
            </w:r>
            <w:r>
              <w:rPr>
                <w:noProof/>
                <w:webHidden/>
              </w:rPr>
            </w:r>
            <w:r>
              <w:rPr>
                <w:noProof/>
                <w:webHidden/>
              </w:rPr>
              <w:fldChar w:fldCharType="separate"/>
            </w:r>
            <w:r>
              <w:rPr>
                <w:noProof/>
                <w:webHidden/>
              </w:rPr>
              <w:t>40</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61" w:history="1">
            <w:r>
              <w:rPr>
                <w:rStyle w:val="Hyperlink"/>
                <w:noProof/>
              </w:rPr>
              <w:t>Forced marriage</w:t>
            </w:r>
            <w:r>
              <w:rPr>
                <w:noProof/>
                <w:webHidden/>
              </w:rPr>
              <w:tab/>
            </w:r>
            <w:r>
              <w:rPr>
                <w:noProof/>
                <w:webHidden/>
              </w:rPr>
              <w:fldChar w:fldCharType="begin"/>
            </w:r>
            <w:r>
              <w:rPr>
                <w:noProof/>
                <w:webHidden/>
              </w:rPr>
              <w:instrText xml:space="preserve"> PAGEREF _Toc172030661 \h </w:instrText>
            </w:r>
            <w:r>
              <w:rPr>
                <w:noProof/>
                <w:webHidden/>
              </w:rPr>
            </w:r>
            <w:r>
              <w:rPr>
                <w:noProof/>
                <w:webHidden/>
              </w:rPr>
              <w:fldChar w:fldCharType="separate"/>
            </w:r>
            <w:r>
              <w:rPr>
                <w:noProof/>
                <w:webHidden/>
              </w:rPr>
              <w:t>41</w:t>
            </w:r>
            <w:r>
              <w:rPr>
                <w:noProof/>
                <w:webHidden/>
              </w:rPr>
              <w:fldChar w:fldCharType="end"/>
            </w:r>
          </w:hyperlink>
        </w:p>
        <w:p>
          <w:pPr>
            <w:pStyle w:val="TOC1"/>
            <w:rPr>
              <w:rFonts w:asciiTheme="minorHAnsi" w:eastAsiaTheme="minorEastAsia" w:hAnsiTheme="minorHAnsi" w:cstheme="minorBidi"/>
              <w:noProof/>
              <w:lang w:val="en-GB"/>
            </w:rPr>
          </w:pPr>
          <w:hyperlink w:anchor="_Toc172030662" w:history="1">
            <w:r>
              <w:rPr>
                <w:rStyle w:val="Hyperlink"/>
                <w:noProof/>
              </w:rPr>
              <w:t>Serious violence</w:t>
            </w:r>
            <w:r>
              <w:rPr>
                <w:noProof/>
                <w:webHidden/>
              </w:rPr>
              <w:tab/>
            </w:r>
            <w:r>
              <w:rPr>
                <w:noProof/>
                <w:webHidden/>
              </w:rPr>
              <w:fldChar w:fldCharType="begin"/>
            </w:r>
            <w:r>
              <w:rPr>
                <w:noProof/>
                <w:webHidden/>
              </w:rPr>
              <w:instrText xml:space="preserve"> PAGEREF _Toc172030662 \h </w:instrText>
            </w:r>
            <w:r>
              <w:rPr>
                <w:noProof/>
                <w:webHidden/>
              </w:rPr>
            </w:r>
            <w:r>
              <w:rPr>
                <w:noProof/>
                <w:webHidden/>
              </w:rPr>
              <w:fldChar w:fldCharType="separate"/>
            </w:r>
            <w:r>
              <w:rPr>
                <w:noProof/>
                <w:webHidden/>
              </w:rPr>
              <w:t>41</w:t>
            </w:r>
            <w:r>
              <w:rPr>
                <w:noProof/>
                <w:webHidden/>
              </w:rPr>
              <w:fldChar w:fldCharType="end"/>
            </w:r>
          </w:hyperlink>
        </w:p>
        <w:p>
          <w:pPr>
            <w:pStyle w:val="TOC1"/>
            <w:rPr>
              <w:rFonts w:asciiTheme="minorHAnsi" w:eastAsiaTheme="minorEastAsia" w:hAnsiTheme="minorHAnsi" w:cstheme="minorBidi"/>
              <w:noProof/>
              <w:lang w:val="en-GB"/>
            </w:rPr>
          </w:pPr>
          <w:hyperlink w:anchor="_Toc172030663" w:history="1">
            <w:r>
              <w:rPr>
                <w:rStyle w:val="Hyperlink"/>
                <w:noProof/>
                <w:lang w:val="en-GB"/>
              </w:rPr>
              <w:t>Sexual violence and sexual harassment between children in schools</w:t>
            </w:r>
            <w:r>
              <w:rPr>
                <w:noProof/>
                <w:webHidden/>
              </w:rPr>
              <w:tab/>
            </w:r>
            <w:r>
              <w:rPr>
                <w:noProof/>
                <w:webHidden/>
              </w:rPr>
              <w:fldChar w:fldCharType="begin"/>
            </w:r>
            <w:r>
              <w:rPr>
                <w:noProof/>
                <w:webHidden/>
              </w:rPr>
              <w:instrText xml:space="preserve"> PAGEREF _Toc172030663 \h </w:instrText>
            </w:r>
            <w:r>
              <w:rPr>
                <w:noProof/>
                <w:webHidden/>
              </w:rPr>
            </w:r>
            <w:r>
              <w:rPr>
                <w:noProof/>
                <w:webHidden/>
              </w:rPr>
              <w:fldChar w:fldCharType="separate"/>
            </w:r>
            <w:r>
              <w:rPr>
                <w:noProof/>
                <w:webHidden/>
              </w:rPr>
              <w:t>42</w:t>
            </w:r>
            <w:r>
              <w:rPr>
                <w:noProof/>
                <w:webHidden/>
              </w:rPr>
              <w:fldChar w:fldCharType="end"/>
            </w:r>
          </w:hyperlink>
        </w:p>
        <w:p>
          <w:pPr>
            <w:pStyle w:val="TOC1"/>
            <w:rPr>
              <w:rFonts w:asciiTheme="minorHAnsi" w:eastAsiaTheme="minorEastAsia" w:hAnsiTheme="minorHAnsi" w:cstheme="minorBidi"/>
              <w:noProof/>
              <w:lang w:val="en-GB"/>
            </w:rPr>
          </w:pPr>
          <w:hyperlink w:anchor="_Toc172030664" w:history="1">
            <w:r>
              <w:rPr>
                <w:rStyle w:val="Hyperlink"/>
                <w:noProof/>
              </w:rPr>
              <w:t>Financially motivated incidents</w:t>
            </w:r>
            <w:r>
              <w:rPr>
                <w:noProof/>
                <w:webHidden/>
              </w:rPr>
              <w:tab/>
            </w:r>
            <w:r>
              <w:rPr>
                <w:noProof/>
                <w:webHidden/>
              </w:rPr>
              <w:fldChar w:fldCharType="begin"/>
            </w:r>
            <w:r>
              <w:rPr>
                <w:noProof/>
                <w:webHidden/>
              </w:rPr>
              <w:instrText xml:space="preserve"> PAGEREF _Toc172030664 \h </w:instrText>
            </w:r>
            <w:r>
              <w:rPr>
                <w:noProof/>
                <w:webHidden/>
              </w:rPr>
            </w:r>
            <w:r>
              <w:rPr>
                <w:noProof/>
                <w:webHidden/>
              </w:rPr>
              <w:fldChar w:fldCharType="separate"/>
            </w:r>
            <w:r>
              <w:rPr>
                <w:noProof/>
                <w:webHidden/>
              </w:rPr>
              <w:t>43</w:t>
            </w:r>
            <w:r>
              <w:rPr>
                <w:noProof/>
                <w:webHidden/>
              </w:rPr>
              <w:fldChar w:fldCharType="end"/>
            </w:r>
          </w:hyperlink>
        </w:p>
        <w:p>
          <w:pPr>
            <w:pStyle w:val="TOC1"/>
            <w:rPr>
              <w:rFonts w:asciiTheme="minorHAnsi" w:eastAsiaTheme="minorEastAsia" w:hAnsiTheme="minorHAnsi" w:cstheme="minorBidi"/>
              <w:noProof/>
              <w:lang w:val="en-GB"/>
            </w:rPr>
          </w:pPr>
          <w:hyperlink w:anchor="_Toc172030665" w:history="1">
            <w:r>
              <w:rPr>
                <w:rStyle w:val="Hyperlink"/>
                <w:noProof/>
                <w:highlight w:val="white"/>
              </w:rPr>
              <w:t>Breast Ironing</w:t>
            </w:r>
            <w:r>
              <w:rPr>
                <w:noProof/>
                <w:webHidden/>
              </w:rPr>
              <w:tab/>
            </w:r>
            <w:r>
              <w:rPr>
                <w:noProof/>
                <w:webHidden/>
              </w:rPr>
              <w:fldChar w:fldCharType="begin"/>
            </w:r>
            <w:r>
              <w:rPr>
                <w:noProof/>
                <w:webHidden/>
              </w:rPr>
              <w:instrText xml:space="preserve"> PAGEREF _Toc172030665 \h </w:instrText>
            </w:r>
            <w:r>
              <w:rPr>
                <w:noProof/>
                <w:webHidden/>
              </w:rPr>
            </w:r>
            <w:r>
              <w:rPr>
                <w:noProof/>
                <w:webHidden/>
              </w:rPr>
              <w:fldChar w:fldCharType="separate"/>
            </w:r>
            <w:r>
              <w:rPr>
                <w:noProof/>
                <w:webHidden/>
              </w:rPr>
              <w:t>43</w:t>
            </w:r>
            <w:r>
              <w:rPr>
                <w:noProof/>
                <w:webHidden/>
              </w:rPr>
              <w:fldChar w:fldCharType="end"/>
            </w:r>
          </w:hyperlink>
        </w:p>
        <w:p>
          <w:pPr>
            <w:pStyle w:val="TOC1"/>
            <w:rPr>
              <w:rFonts w:asciiTheme="minorHAnsi" w:eastAsiaTheme="minorEastAsia" w:hAnsiTheme="minorHAnsi" w:cstheme="minorBidi"/>
              <w:noProof/>
              <w:lang w:val="en-GB"/>
            </w:rPr>
          </w:pPr>
          <w:hyperlink w:anchor="_Toc172030666" w:history="1">
            <w:r>
              <w:rPr>
                <w:rStyle w:val="Hyperlink"/>
                <w:noProof/>
              </w:rPr>
              <w:t>Voyeurism - “upskirting”</w:t>
            </w:r>
            <w:r>
              <w:rPr>
                <w:noProof/>
                <w:webHidden/>
              </w:rPr>
              <w:tab/>
            </w:r>
            <w:r>
              <w:rPr>
                <w:noProof/>
                <w:webHidden/>
              </w:rPr>
              <w:fldChar w:fldCharType="begin"/>
            </w:r>
            <w:r>
              <w:rPr>
                <w:noProof/>
                <w:webHidden/>
              </w:rPr>
              <w:instrText xml:space="preserve"> PAGEREF _Toc172030666 \h </w:instrText>
            </w:r>
            <w:r>
              <w:rPr>
                <w:noProof/>
                <w:webHidden/>
              </w:rPr>
            </w:r>
            <w:r>
              <w:rPr>
                <w:noProof/>
                <w:webHidden/>
              </w:rPr>
              <w:fldChar w:fldCharType="separate"/>
            </w:r>
            <w:r>
              <w:rPr>
                <w:noProof/>
                <w:webHidden/>
              </w:rPr>
              <w:t>43</w:t>
            </w:r>
            <w:r>
              <w:rPr>
                <w:noProof/>
                <w:webHidden/>
              </w:rPr>
              <w:fldChar w:fldCharType="end"/>
            </w:r>
          </w:hyperlink>
        </w:p>
        <w:p>
          <w:pPr>
            <w:pStyle w:val="TOC1"/>
            <w:rPr>
              <w:rFonts w:asciiTheme="minorHAnsi" w:eastAsiaTheme="minorEastAsia" w:hAnsiTheme="minorHAnsi" w:cstheme="minorBidi"/>
              <w:noProof/>
              <w:lang w:val="en-GB"/>
            </w:rPr>
          </w:pPr>
          <w:hyperlink w:anchor="_Toc172030667" w:history="1">
            <w:r>
              <w:rPr>
                <w:rStyle w:val="Hyperlink"/>
                <w:noProof/>
              </w:rPr>
              <w:t>Fabricated or induced illness</w:t>
            </w:r>
            <w:r>
              <w:rPr>
                <w:noProof/>
                <w:webHidden/>
              </w:rPr>
              <w:tab/>
            </w:r>
            <w:r>
              <w:rPr>
                <w:noProof/>
                <w:webHidden/>
              </w:rPr>
              <w:fldChar w:fldCharType="begin"/>
            </w:r>
            <w:r>
              <w:rPr>
                <w:noProof/>
                <w:webHidden/>
              </w:rPr>
              <w:instrText xml:space="preserve"> PAGEREF _Toc172030667 \h </w:instrText>
            </w:r>
            <w:r>
              <w:rPr>
                <w:noProof/>
                <w:webHidden/>
              </w:rPr>
            </w:r>
            <w:r>
              <w:rPr>
                <w:noProof/>
                <w:webHidden/>
              </w:rPr>
              <w:fldChar w:fldCharType="separate"/>
            </w:r>
            <w:r>
              <w:rPr>
                <w:noProof/>
                <w:webHidden/>
              </w:rPr>
              <w:t>44</w:t>
            </w:r>
            <w:r>
              <w:rPr>
                <w:noProof/>
                <w:webHidden/>
              </w:rPr>
              <w:fldChar w:fldCharType="end"/>
            </w:r>
          </w:hyperlink>
        </w:p>
        <w:p>
          <w:pPr>
            <w:pStyle w:val="TOC1"/>
            <w:rPr>
              <w:rFonts w:asciiTheme="minorHAnsi" w:eastAsiaTheme="minorEastAsia" w:hAnsiTheme="minorHAnsi" w:cstheme="minorBidi"/>
              <w:noProof/>
              <w:lang w:val="en-GB"/>
            </w:rPr>
          </w:pPr>
          <w:hyperlink w:anchor="_Toc172030668" w:history="1">
            <w:r>
              <w:rPr>
                <w:rStyle w:val="Hyperlink"/>
                <w:noProof/>
              </w:rPr>
              <w:t>Private Fostering Arrangements</w:t>
            </w:r>
            <w:r>
              <w:rPr>
                <w:noProof/>
                <w:webHidden/>
              </w:rPr>
              <w:tab/>
            </w:r>
            <w:r>
              <w:rPr>
                <w:noProof/>
                <w:webHidden/>
              </w:rPr>
              <w:fldChar w:fldCharType="begin"/>
            </w:r>
            <w:r>
              <w:rPr>
                <w:noProof/>
                <w:webHidden/>
              </w:rPr>
              <w:instrText xml:space="preserve"> PAGEREF _Toc172030668 \h </w:instrText>
            </w:r>
            <w:r>
              <w:rPr>
                <w:noProof/>
                <w:webHidden/>
              </w:rPr>
            </w:r>
            <w:r>
              <w:rPr>
                <w:noProof/>
                <w:webHidden/>
              </w:rPr>
              <w:fldChar w:fldCharType="separate"/>
            </w:r>
            <w:r>
              <w:rPr>
                <w:noProof/>
                <w:webHidden/>
              </w:rPr>
              <w:t>44</w:t>
            </w:r>
            <w:r>
              <w:rPr>
                <w:noProof/>
                <w:webHidden/>
              </w:rPr>
              <w:fldChar w:fldCharType="end"/>
            </w:r>
          </w:hyperlink>
        </w:p>
        <w:p>
          <w:pPr>
            <w:pStyle w:val="TOC1"/>
            <w:rPr>
              <w:rFonts w:asciiTheme="minorHAnsi" w:eastAsiaTheme="minorEastAsia" w:hAnsiTheme="minorHAnsi" w:cstheme="minorBidi"/>
              <w:noProof/>
              <w:lang w:val="en-GB"/>
            </w:rPr>
          </w:pPr>
          <w:hyperlink w:anchor="_Toc172030669" w:history="1">
            <w:r>
              <w:rPr>
                <w:rStyle w:val="Hyperlink"/>
                <w:noProof/>
              </w:rPr>
              <w:t>Missing pupils</w:t>
            </w:r>
            <w:r>
              <w:rPr>
                <w:noProof/>
                <w:webHidden/>
              </w:rPr>
              <w:tab/>
            </w:r>
            <w:r>
              <w:rPr>
                <w:noProof/>
                <w:webHidden/>
              </w:rPr>
              <w:fldChar w:fldCharType="begin"/>
            </w:r>
            <w:r>
              <w:rPr>
                <w:noProof/>
                <w:webHidden/>
              </w:rPr>
              <w:instrText xml:space="preserve"> PAGEREF _Toc172030669 \h </w:instrText>
            </w:r>
            <w:r>
              <w:rPr>
                <w:noProof/>
                <w:webHidden/>
              </w:rPr>
            </w:r>
            <w:r>
              <w:rPr>
                <w:noProof/>
                <w:webHidden/>
              </w:rPr>
              <w:fldChar w:fldCharType="separate"/>
            </w:r>
            <w:r>
              <w:rPr>
                <w:noProof/>
                <w:webHidden/>
              </w:rPr>
              <w:t>44</w:t>
            </w:r>
            <w:r>
              <w:rPr>
                <w:noProof/>
                <w:webHidden/>
              </w:rPr>
              <w:fldChar w:fldCharType="end"/>
            </w:r>
          </w:hyperlink>
        </w:p>
        <w:p>
          <w:pPr>
            <w:pStyle w:val="TOC1"/>
            <w:rPr>
              <w:rFonts w:asciiTheme="minorHAnsi" w:eastAsiaTheme="minorEastAsia" w:hAnsiTheme="minorHAnsi" w:cstheme="minorBidi"/>
              <w:noProof/>
              <w:lang w:val="en-GB"/>
            </w:rPr>
          </w:pPr>
          <w:hyperlink w:anchor="_Toc172030670" w:history="1">
            <w:r>
              <w:rPr>
                <w:rStyle w:val="Hyperlink"/>
                <w:noProof/>
              </w:rPr>
              <w:t>Non-collection of children</w:t>
            </w:r>
            <w:r>
              <w:rPr>
                <w:noProof/>
                <w:webHidden/>
              </w:rPr>
              <w:tab/>
            </w:r>
            <w:r>
              <w:rPr>
                <w:noProof/>
                <w:webHidden/>
              </w:rPr>
              <w:fldChar w:fldCharType="begin"/>
            </w:r>
            <w:r>
              <w:rPr>
                <w:noProof/>
                <w:webHidden/>
              </w:rPr>
              <w:instrText xml:space="preserve"> PAGEREF _Toc172030670 \h </w:instrText>
            </w:r>
            <w:r>
              <w:rPr>
                <w:noProof/>
                <w:webHidden/>
              </w:rPr>
            </w:r>
            <w:r>
              <w:rPr>
                <w:noProof/>
                <w:webHidden/>
              </w:rPr>
              <w:fldChar w:fldCharType="separate"/>
            </w:r>
            <w:r>
              <w:rPr>
                <w:noProof/>
                <w:webHidden/>
              </w:rPr>
              <w:t>44</w:t>
            </w:r>
            <w:r>
              <w:rPr>
                <w:noProof/>
                <w:webHidden/>
              </w:rPr>
              <w:fldChar w:fldCharType="end"/>
            </w:r>
          </w:hyperlink>
        </w:p>
        <w:p>
          <w:pPr>
            <w:pStyle w:val="TOC1"/>
            <w:rPr>
              <w:rFonts w:asciiTheme="minorHAnsi" w:eastAsiaTheme="minorEastAsia" w:hAnsiTheme="minorHAnsi" w:cstheme="minorBidi"/>
              <w:noProof/>
              <w:lang w:val="en-GB"/>
            </w:rPr>
          </w:pPr>
          <w:hyperlink w:anchor="_Toc172030671" w:history="1">
            <w:r>
              <w:rPr>
                <w:rStyle w:val="Hyperlink"/>
                <w:noProof/>
              </w:rPr>
              <w:t>Parenting</w:t>
            </w:r>
            <w:r>
              <w:rPr>
                <w:noProof/>
                <w:webHidden/>
              </w:rPr>
              <w:tab/>
            </w:r>
            <w:r>
              <w:rPr>
                <w:noProof/>
                <w:webHidden/>
              </w:rPr>
              <w:fldChar w:fldCharType="begin"/>
            </w:r>
            <w:r>
              <w:rPr>
                <w:noProof/>
                <w:webHidden/>
              </w:rPr>
              <w:instrText xml:space="preserve"> PAGEREF _Toc172030671 \h </w:instrText>
            </w:r>
            <w:r>
              <w:rPr>
                <w:noProof/>
                <w:webHidden/>
              </w:rPr>
            </w:r>
            <w:r>
              <w:rPr>
                <w:noProof/>
                <w:webHidden/>
              </w:rPr>
              <w:fldChar w:fldCharType="separate"/>
            </w:r>
            <w:r>
              <w:rPr>
                <w:noProof/>
                <w:webHidden/>
              </w:rPr>
              <w:t>44</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72" w:history="1">
            <w:r>
              <w:rPr>
                <w:rStyle w:val="Hyperlink"/>
                <w:noProof/>
              </w:rPr>
              <w:t>Working with Parents and Carers</w:t>
            </w:r>
            <w:r>
              <w:rPr>
                <w:noProof/>
                <w:webHidden/>
              </w:rPr>
              <w:tab/>
            </w:r>
            <w:r>
              <w:rPr>
                <w:noProof/>
                <w:webHidden/>
              </w:rPr>
              <w:fldChar w:fldCharType="begin"/>
            </w:r>
            <w:r>
              <w:rPr>
                <w:noProof/>
                <w:webHidden/>
              </w:rPr>
              <w:instrText xml:space="preserve"> PAGEREF _Toc172030672 \h </w:instrText>
            </w:r>
            <w:r>
              <w:rPr>
                <w:noProof/>
                <w:webHidden/>
              </w:rPr>
            </w:r>
            <w:r>
              <w:rPr>
                <w:noProof/>
                <w:webHidden/>
              </w:rPr>
              <w:fldChar w:fldCharType="separate"/>
            </w:r>
            <w:r>
              <w:rPr>
                <w:noProof/>
                <w:webHidden/>
              </w:rPr>
              <w:t>45</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73" w:history="1">
            <w:r>
              <w:rPr>
                <w:rStyle w:val="Hyperlink"/>
                <w:noProof/>
              </w:rPr>
              <w:t>Issues Relating to Parental Responsibility</w:t>
            </w:r>
            <w:r>
              <w:rPr>
                <w:noProof/>
                <w:webHidden/>
              </w:rPr>
              <w:tab/>
            </w:r>
            <w:r>
              <w:rPr>
                <w:noProof/>
                <w:webHidden/>
              </w:rPr>
              <w:fldChar w:fldCharType="begin"/>
            </w:r>
            <w:r>
              <w:rPr>
                <w:noProof/>
                <w:webHidden/>
              </w:rPr>
              <w:instrText xml:space="preserve"> PAGEREF _Toc172030673 \h </w:instrText>
            </w:r>
            <w:r>
              <w:rPr>
                <w:noProof/>
                <w:webHidden/>
              </w:rPr>
            </w:r>
            <w:r>
              <w:rPr>
                <w:noProof/>
                <w:webHidden/>
              </w:rPr>
              <w:fldChar w:fldCharType="separate"/>
            </w:r>
            <w:r>
              <w:rPr>
                <w:noProof/>
                <w:webHidden/>
              </w:rPr>
              <w:t>46</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74" w:history="1">
            <w:r>
              <w:rPr>
                <w:rStyle w:val="Hyperlink"/>
                <w:noProof/>
              </w:rPr>
              <w:t>Working with Aggressive and Violent Parents</w:t>
            </w:r>
            <w:r>
              <w:rPr>
                <w:noProof/>
                <w:webHidden/>
              </w:rPr>
              <w:tab/>
            </w:r>
            <w:r>
              <w:rPr>
                <w:noProof/>
                <w:webHidden/>
              </w:rPr>
              <w:fldChar w:fldCharType="begin"/>
            </w:r>
            <w:r>
              <w:rPr>
                <w:noProof/>
                <w:webHidden/>
              </w:rPr>
              <w:instrText xml:space="preserve"> PAGEREF _Toc172030674 \h </w:instrText>
            </w:r>
            <w:r>
              <w:rPr>
                <w:noProof/>
                <w:webHidden/>
              </w:rPr>
            </w:r>
            <w:r>
              <w:rPr>
                <w:noProof/>
                <w:webHidden/>
              </w:rPr>
              <w:fldChar w:fldCharType="separate"/>
            </w:r>
            <w:r>
              <w:rPr>
                <w:noProof/>
                <w:webHidden/>
              </w:rPr>
              <w:t>46</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75" w:history="1">
            <w:r>
              <w:rPr>
                <w:rStyle w:val="Hyperlink"/>
                <w:noProof/>
              </w:rPr>
              <w:t>Children and the court system</w:t>
            </w:r>
            <w:r>
              <w:rPr>
                <w:noProof/>
                <w:webHidden/>
              </w:rPr>
              <w:tab/>
            </w:r>
            <w:r>
              <w:rPr>
                <w:noProof/>
                <w:webHidden/>
              </w:rPr>
              <w:fldChar w:fldCharType="begin"/>
            </w:r>
            <w:r>
              <w:rPr>
                <w:noProof/>
                <w:webHidden/>
              </w:rPr>
              <w:instrText xml:space="preserve"> PAGEREF _Toc172030675 \h </w:instrText>
            </w:r>
            <w:r>
              <w:rPr>
                <w:noProof/>
                <w:webHidden/>
              </w:rPr>
            </w:r>
            <w:r>
              <w:rPr>
                <w:noProof/>
                <w:webHidden/>
              </w:rPr>
              <w:fldChar w:fldCharType="separate"/>
            </w:r>
            <w:r>
              <w:rPr>
                <w:noProof/>
                <w:webHidden/>
              </w:rPr>
              <w:t>46</w:t>
            </w:r>
            <w:r>
              <w:rPr>
                <w:noProof/>
                <w:webHidden/>
              </w:rPr>
              <w:fldChar w:fldCharType="end"/>
            </w:r>
          </w:hyperlink>
        </w:p>
        <w:p>
          <w:pPr>
            <w:pStyle w:val="TOC1"/>
            <w:rPr>
              <w:rFonts w:asciiTheme="minorHAnsi" w:eastAsiaTheme="minorEastAsia" w:hAnsiTheme="minorHAnsi" w:cstheme="minorBidi"/>
              <w:noProof/>
              <w:lang w:val="en-GB"/>
            </w:rPr>
          </w:pPr>
          <w:hyperlink w:anchor="_Toc172030676" w:history="1">
            <w:r>
              <w:rPr>
                <w:rStyle w:val="Hyperlink"/>
                <w:noProof/>
              </w:rPr>
              <w:t>Children with family members in prison</w:t>
            </w:r>
            <w:r>
              <w:rPr>
                <w:noProof/>
                <w:webHidden/>
              </w:rPr>
              <w:tab/>
            </w:r>
            <w:r>
              <w:rPr>
                <w:noProof/>
                <w:webHidden/>
              </w:rPr>
              <w:fldChar w:fldCharType="begin"/>
            </w:r>
            <w:r>
              <w:rPr>
                <w:noProof/>
                <w:webHidden/>
              </w:rPr>
              <w:instrText xml:space="preserve"> PAGEREF _Toc172030676 \h </w:instrText>
            </w:r>
            <w:r>
              <w:rPr>
                <w:noProof/>
                <w:webHidden/>
              </w:rPr>
            </w:r>
            <w:r>
              <w:rPr>
                <w:noProof/>
                <w:webHidden/>
              </w:rPr>
              <w:fldChar w:fldCharType="separate"/>
            </w:r>
            <w:r>
              <w:rPr>
                <w:noProof/>
                <w:webHidden/>
              </w:rPr>
              <w:t>46</w:t>
            </w:r>
            <w:r>
              <w:rPr>
                <w:noProof/>
                <w:webHidden/>
              </w:rPr>
              <w:fldChar w:fldCharType="end"/>
            </w:r>
          </w:hyperlink>
        </w:p>
        <w:p>
          <w:pPr>
            <w:pStyle w:val="TOC1"/>
            <w:rPr>
              <w:rFonts w:asciiTheme="minorHAnsi" w:eastAsiaTheme="minorEastAsia" w:hAnsiTheme="minorHAnsi" w:cstheme="minorBidi"/>
              <w:noProof/>
              <w:lang w:val="en-GB"/>
            </w:rPr>
          </w:pPr>
          <w:hyperlink w:anchor="_Toc172030677" w:history="1">
            <w:r>
              <w:rPr>
                <w:rStyle w:val="Hyperlink"/>
                <w:noProof/>
              </w:rPr>
              <w:t>Private Fostering</w:t>
            </w:r>
            <w:r>
              <w:rPr>
                <w:noProof/>
                <w:webHidden/>
              </w:rPr>
              <w:tab/>
            </w:r>
            <w:r>
              <w:rPr>
                <w:noProof/>
                <w:webHidden/>
              </w:rPr>
              <w:fldChar w:fldCharType="begin"/>
            </w:r>
            <w:r>
              <w:rPr>
                <w:noProof/>
                <w:webHidden/>
              </w:rPr>
              <w:instrText xml:space="preserve"> PAGEREF _Toc172030677 \h </w:instrText>
            </w:r>
            <w:r>
              <w:rPr>
                <w:noProof/>
                <w:webHidden/>
              </w:rPr>
            </w:r>
            <w:r>
              <w:rPr>
                <w:noProof/>
                <w:webHidden/>
              </w:rPr>
              <w:fldChar w:fldCharType="separate"/>
            </w:r>
            <w:r>
              <w:rPr>
                <w:noProof/>
                <w:webHidden/>
              </w:rPr>
              <w:t>47</w:t>
            </w:r>
            <w:r>
              <w:rPr>
                <w:noProof/>
                <w:webHidden/>
              </w:rPr>
              <w:fldChar w:fldCharType="end"/>
            </w:r>
          </w:hyperlink>
        </w:p>
        <w:p>
          <w:pPr>
            <w:pStyle w:val="TOC1"/>
            <w:rPr>
              <w:rFonts w:asciiTheme="minorHAnsi" w:eastAsiaTheme="minorEastAsia" w:hAnsiTheme="minorHAnsi" w:cstheme="minorBidi"/>
              <w:noProof/>
              <w:lang w:val="en-GB"/>
            </w:rPr>
          </w:pPr>
          <w:hyperlink w:anchor="_Toc172030678" w:history="1">
            <w:r>
              <w:rPr>
                <w:rStyle w:val="Hyperlink"/>
                <w:noProof/>
              </w:rPr>
              <w:t>Appendix 2</w:t>
            </w:r>
            <w:r>
              <w:rPr>
                <w:noProof/>
                <w:webHidden/>
              </w:rPr>
              <w:tab/>
            </w:r>
            <w:r>
              <w:rPr>
                <w:noProof/>
                <w:webHidden/>
              </w:rPr>
              <w:fldChar w:fldCharType="begin"/>
            </w:r>
            <w:r>
              <w:rPr>
                <w:noProof/>
                <w:webHidden/>
              </w:rPr>
              <w:instrText xml:space="preserve"> PAGEREF _Toc172030678 \h </w:instrText>
            </w:r>
            <w:r>
              <w:rPr>
                <w:noProof/>
                <w:webHidden/>
              </w:rPr>
            </w:r>
            <w:r>
              <w:rPr>
                <w:noProof/>
                <w:webHidden/>
              </w:rPr>
              <w:fldChar w:fldCharType="separate"/>
            </w:r>
            <w:r>
              <w:rPr>
                <w:noProof/>
                <w:webHidden/>
              </w:rPr>
              <w:t>47</w:t>
            </w:r>
            <w:r>
              <w:rPr>
                <w:noProof/>
                <w:webHidden/>
              </w:rPr>
              <w:fldChar w:fldCharType="end"/>
            </w:r>
          </w:hyperlink>
        </w:p>
        <w:p>
          <w:pPr>
            <w:pStyle w:val="TOC1"/>
            <w:rPr>
              <w:rFonts w:asciiTheme="minorHAnsi" w:eastAsiaTheme="minorEastAsia" w:hAnsiTheme="minorHAnsi" w:cstheme="minorBidi"/>
              <w:noProof/>
              <w:lang w:val="en-GB"/>
            </w:rPr>
          </w:pPr>
          <w:hyperlink w:anchor="_Toc172030679" w:history="1">
            <w:r>
              <w:rPr>
                <w:rStyle w:val="Hyperlink"/>
                <w:noProof/>
                <w:lang w:val="en-GB"/>
              </w:rPr>
              <w:t>Safer Recruitment Policy</w:t>
            </w:r>
            <w:r>
              <w:rPr>
                <w:noProof/>
                <w:webHidden/>
              </w:rPr>
              <w:tab/>
            </w:r>
            <w:r>
              <w:rPr>
                <w:noProof/>
                <w:webHidden/>
              </w:rPr>
              <w:fldChar w:fldCharType="begin"/>
            </w:r>
            <w:r>
              <w:rPr>
                <w:noProof/>
                <w:webHidden/>
              </w:rPr>
              <w:instrText xml:space="preserve"> PAGEREF _Toc172030679 \h </w:instrText>
            </w:r>
            <w:r>
              <w:rPr>
                <w:noProof/>
                <w:webHidden/>
              </w:rPr>
            </w:r>
            <w:r>
              <w:rPr>
                <w:noProof/>
                <w:webHidden/>
              </w:rPr>
              <w:fldChar w:fldCharType="separate"/>
            </w:r>
            <w:r>
              <w:rPr>
                <w:noProof/>
                <w:webHidden/>
              </w:rPr>
              <w:t>48</w:t>
            </w:r>
            <w:r>
              <w:rPr>
                <w:noProof/>
                <w:webHidden/>
              </w:rPr>
              <w:fldChar w:fldCharType="end"/>
            </w:r>
          </w:hyperlink>
        </w:p>
        <w:p>
          <w:pPr>
            <w:pStyle w:val="TOC1"/>
            <w:rPr>
              <w:rFonts w:asciiTheme="minorHAnsi" w:eastAsiaTheme="minorEastAsia" w:hAnsiTheme="minorHAnsi" w:cstheme="minorBidi"/>
              <w:noProof/>
              <w:lang w:val="en-GB"/>
            </w:rPr>
          </w:pPr>
          <w:hyperlink w:anchor="_Toc172030680" w:history="1">
            <w:r>
              <w:rPr>
                <w:rStyle w:val="Hyperlink"/>
                <w:noProof/>
              </w:rPr>
              <w:t>Appendix 3</w:t>
            </w:r>
            <w:r>
              <w:rPr>
                <w:noProof/>
                <w:webHidden/>
              </w:rPr>
              <w:tab/>
            </w:r>
            <w:r>
              <w:rPr>
                <w:noProof/>
                <w:webHidden/>
              </w:rPr>
              <w:fldChar w:fldCharType="begin"/>
            </w:r>
            <w:r>
              <w:rPr>
                <w:noProof/>
                <w:webHidden/>
              </w:rPr>
              <w:instrText xml:space="preserve"> PAGEREF _Toc172030680 \h </w:instrText>
            </w:r>
            <w:r>
              <w:rPr>
                <w:noProof/>
                <w:webHidden/>
              </w:rPr>
            </w:r>
            <w:r>
              <w:rPr>
                <w:noProof/>
                <w:webHidden/>
              </w:rPr>
              <w:fldChar w:fldCharType="separate"/>
            </w:r>
            <w:r>
              <w:rPr>
                <w:noProof/>
                <w:webHidden/>
              </w:rPr>
              <w:t>53</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81" w:history="1">
            <w:r>
              <w:rPr>
                <w:rStyle w:val="Hyperlink"/>
                <w:noProof/>
              </w:rPr>
              <w:t>Section 1: Allegations that May Meet the Harm Threshold</w:t>
            </w:r>
            <w:r>
              <w:rPr>
                <w:noProof/>
                <w:webHidden/>
              </w:rPr>
              <w:tab/>
            </w:r>
            <w:r>
              <w:rPr>
                <w:noProof/>
                <w:webHidden/>
              </w:rPr>
              <w:fldChar w:fldCharType="begin"/>
            </w:r>
            <w:r>
              <w:rPr>
                <w:noProof/>
                <w:webHidden/>
              </w:rPr>
              <w:instrText xml:space="preserve"> PAGEREF _Toc172030681 \h </w:instrText>
            </w:r>
            <w:r>
              <w:rPr>
                <w:noProof/>
                <w:webHidden/>
              </w:rPr>
            </w:r>
            <w:r>
              <w:rPr>
                <w:noProof/>
                <w:webHidden/>
              </w:rPr>
              <w:fldChar w:fldCharType="separate"/>
            </w:r>
            <w:r>
              <w:rPr>
                <w:noProof/>
                <w:webHidden/>
              </w:rPr>
              <w:t>55</w:t>
            </w:r>
            <w:r>
              <w:rPr>
                <w:noProof/>
                <w:webHidden/>
              </w:rPr>
              <w:fldChar w:fldCharType="end"/>
            </w:r>
          </w:hyperlink>
        </w:p>
        <w:p>
          <w:pPr>
            <w:pStyle w:val="TOC2"/>
            <w:tabs>
              <w:tab w:val="right" w:leader="dot" w:pos="9742"/>
            </w:tabs>
            <w:rPr>
              <w:rFonts w:asciiTheme="minorHAnsi" w:eastAsiaTheme="minorEastAsia" w:hAnsiTheme="minorHAnsi" w:cstheme="minorBidi"/>
              <w:noProof/>
              <w:lang w:val="en-GB"/>
            </w:rPr>
          </w:pPr>
          <w:hyperlink w:anchor="_Toc172030682" w:history="1">
            <w:r>
              <w:rPr>
                <w:rStyle w:val="Hyperlink"/>
                <w:noProof/>
              </w:rPr>
              <w:t>Section 2: Concerns that Do Not Meet the Harm Threshold</w:t>
            </w:r>
            <w:r>
              <w:rPr>
                <w:noProof/>
                <w:webHidden/>
              </w:rPr>
              <w:tab/>
            </w:r>
            <w:r>
              <w:rPr>
                <w:noProof/>
                <w:webHidden/>
              </w:rPr>
              <w:fldChar w:fldCharType="begin"/>
            </w:r>
            <w:r>
              <w:rPr>
                <w:noProof/>
                <w:webHidden/>
              </w:rPr>
              <w:instrText xml:space="preserve"> PAGEREF _Toc172030682 \h </w:instrText>
            </w:r>
            <w:r>
              <w:rPr>
                <w:noProof/>
                <w:webHidden/>
              </w:rPr>
            </w:r>
            <w:r>
              <w:rPr>
                <w:noProof/>
                <w:webHidden/>
              </w:rPr>
              <w:fldChar w:fldCharType="separate"/>
            </w:r>
            <w:r>
              <w:rPr>
                <w:noProof/>
                <w:webHidden/>
              </w:rPr>
              <w:t>59</w:t>
            </w:r>
            <w:r>
              <w:rPr>
                <w:noProof/>
                <w:webHidden/>
              </w:rPr>
              <w:fldChar w:fldCharType="end"/>
            </w:r>
          </w:hyperlink>
        </w:p>
        <w:p>
          <w:r>
            <w:rPr>
              <w:b/>
              <w:bCs/>
              <w:noProof/>
            </w:rPr>
            <w:fldChar w:fldCharType="end"/>
          </w:r>
        </w:p>
      </w:sdtContent>
    </w:sdt>
    <w:p/>
    <w:p/>
    <w:p/>
    <w:p/>
    <w:p/>
    <w:p/>
    <w:p/>
    <w:p/>
    <w:p/>
    <w:p/>
    <w:p>
      <w:pPr>
        <w:pStyle w:val="Heading1"/>
        <w:rPr>
          <w:rFonts w:asciiTheme="minorHAnsi" w:hAnsiTheme="minorHAnsi" w:cstheme="minorHAnsi"/>
          <w:color w:val="FF0000"/>
          <w:sz w:val="32"/>
          <w:szCs w:val="28"/>
        </w:rPr>
      </w:pPr>
      <w:bookmarkStart w:id="3" w:name="_Toc172030584"/>
      <w:r>
        <w:rPr>
          <w:rFonts w:asciiTheme="minorHAnsi" w:hAnsiTheme="minorHAnsi" w:cstheme="minorHAnsi"/>
          <w:color w:val="FF0000"/>
          <w:sz w:val="32"/>
          <w:szCs w:val="28"/>
        </w:rPr>
        <w:lastRenderedPageBreak/>
        <w:t>Part One: Aware</w:t>
      </w:r>
      <w:bookmarkEnd w:id="3"/>
    </w:p>
    <w:p>
      <w:pPr>
        <w:pStyle w:val="Heading2"/>
        <w:numPr>
          <w:ilvl w:val="0"/>
          <w:numId w:val="65"/>
        </w:numPr>
        <w:spacing w:before="240"/>
        <w:rPr>
          <w:sz w:val="28"/>
        </w:rPr>
      </w:pPr>
      <w:bookmarkStart w:id="4" w:name="_Toc172030585"/>
      <w:r>
        <w:rPr>
          <w:sz w:val="28"/>
        </w:rPr>
        <w:t>Policy Statement</w:t>
      </w:r>
      <w:bookmarkEnd w:id="4"/>
    </w:p>
    <w:p>
      <w:pPr>
        <w:shd w:val="clear" w:color="auto" w:fill="FFFFFF"/>
        <w:spacing w:before="240" w:after="0" w:line="276" w:lineRule="auto"/>
        <w:rPr>
          <w:rFonts w:asciiTheme="minorHAnsi" w:hAnsiTheme="minorHAnsi" w:cstheme="minorHAnsi"/>
        </w:rPr>
      </w:pPr>
      <w:r>
        <w:rPr>
          <w:rFonts w:asciiTheme="minorHAnsi" w:hAnsiTheme="minorHAnsi" w:cstheme="minorHAnsi"/>
        </w:rPr>
        <w:t xml:space="preserve">Safeguarding and child protection is </w:t>
      </w:r>
      <w:r>
        <w:rPr>
          <w:rFonts w:asciiTheme="minorHAnsi" w:hAnsiTheme="minorHAnsi" w:cstheme="minorHAnsi"/>
          <w:b/>
        </w:rPr>
        <w:t xml:space="preserve">everyone’s </w:t>
      </w:r>
      <w:r>
        <w:rPr>
          <w:rFonts w:asciiTheme="minorHAnsi" w:hAnsiTheme="minorHAnsi" w:cstheme="minorHAnsi"/>
        </w:rPr>
        <w:t xml:space="preserve">responsibility; this policy relates to all staff, volunteers and governors of our setting and is consistent with the procedures of the 3 safeguarding partners (see terminology on page 8). Our policy and procedures also apply to extended school and off-site activities. It will also inform parents and guardians how we will safeguard their children whilst they are in our care. Processes outlined for our setting will be communicated to visitors, and it will also enable visitors to our setting to act in a manner that is expected of our employees or volunteers when working with our children. </w:t>
      </w:r>
    </w:p>
    <w:p>
      <w:pPr>
        <w:spacing w:before="240" w:after="240"/>
        <w:ind w:right="220"/>
        <w:rPr>
          <w:rFonts w:asciiTheme="minorHAnsi" w:hAnsiTheme="minorHAnsi" w:cstheme="minorHAnsi"/>
        </w:rPr>
      </w:pPr>
      <w:r>
        <w:rPr>
          <w:rFonts w:asciiTheme="minorHAnsi" w:hAnsiTheme="minorHAnsi" w:cstheme="minorHAnsi"/>
        </w:rPr>
        <w:t xml:space="preserve">We </w:t>
      </w:r>
      <w:proofErr w:type="spellStart"/>
      <w:r>
        <w:rPr>
          <w:rFonts w:asciiTheme="minorHAnsi" w:hAnsiTheme="minorHAnsi" w:cstheme="minorHAnsi"/>
        </w:rPr>
        <w:t>recognise</w:t>
      </w:r>
      <w:proofErr w:type="spellEnd"/>
      <w:r>
        <w:rPr>
          <w:rFonts w:asciiTheme="minorHAnsi" w:hAnsiTheme="minorHAnsi" w:cstheme="minorHAnsi"/>
        </w:rPr>
        <w:t xml:space="preserve"> our moral and statutory responsibility to safeguard and promote the welfare of all pupils. We </w:t>
      </w:r>
      <w:proofErr w:type="spellStart"/>
      <w:r>
        <w:rPr>
          <w:rFonts w:asciiTheme="minorHAnsi" w:hAnsiTheme="minorHAnsi" w:cstheme="minorHAnsi"/>
        </w:rPr>
        <w:t>endeavour</w:t>
      </w:r>
      <w:proofErr w:type="spellEnd"/>
      <w:r>
        <w:rPr>
          <w:rFonts w:asciiTheme="minorHAnsi" w:hAnsiTheme="minorHAnsi" w:cstheme="minorHAnsi"/>
        </w:rPr>
        <w:t xml:space="preserve"> to provide a safe and welcoming environment where children are respected and valued. We are alert to the signs of abuse and neglect and follow our procedures to ensure that children receive effective support, protection and justice. </w:t>
      </w:r>
    </w:p>
    <w:p>
      <w:pPr>
        <w:spacing w:after="0"/>
        <w:ind w:right="620"/>
        <w:rPr>
          <w:rFonts w:asciiTheme="minorHAnsi" w:hAnsiTheme="minorHAnsi" w:cstheme="minorHAnsi"/>
        </w:rPr>
      </w:pPr>
      <w:r>
        <w:rPr>
          <w:rFonts w:asciiTheme="minorHAnsi" w:hAnsiTheme="minorHAnsi" w:cstheme="minorHAnsi"/>
        </w:rPr>
        <w:t>The procedures contained in this policy apply to all staff and governors and are consistent with those of Southampton Safeguarding Children Partnership (SSCP - Local Safeguarding Children’s Board).</w:t>
      </w:r>
    </w:p>
    <w:p>
      <w:pPr>
        <w:pStyle w:val="Heading2"/>
        <w:numPr>
          <w:ilvl w:val="0"/>
          <w:numId w:val="65"/>
        </w:numPr>
        <w:rPr>
          <w:sz w:val="28"/>
        </w:rPr>
      </w:pPr>
      <w:bookmarkStart w:id="5" w:name="_heading=h.x5kpwmy9t30i" w:colFirst="0" w:colLast="0"/>
      <w:bookmarkStart w:id="6" w:name="_Toc172030586"/>
      <w:bookmarkEnd w:id="5"/>
      <w:r>
        <w:rPr>
          <w:sz w:val="28"/>
        </w:rPr>
        <w:t>Policy Principles</w:t>
      </w:r>
      <w:bookmarkEnd w:id="6"/>
    </w:p>
    <w:p>
      <w:pPr>
        <w:widowControl w:val="0"/>
        <w:numPr>
          <w:ilvl w:val="0"/>
          <w:numId w:val="24"/>
        </w:numPr>
        <w:spacing w:after="0" w:line="240" w:lineRule="auto"/>
        <w:ind w:left="1080"/>
        <w:rPr>
          <w:rFonts w:asciiTheme="minorHAnsi" w:hAnsiTheme="minorHAnsi" w:cstheme="minorHAnsi"/>
          <w:szCs w:val="24"/>
        </w:rPr>
      </w:pPr>
      <w:r>
        <w:rPr>
          <w:rFonts w:asciiTheme="minorHAnsi" w:hAnsiTheme="minorHAnsi" w:cstheme="minorHAnsi"/>
          <w:szCs w:val="24"/>
        </w:rPr>
        <w:t>The welfare of the child is paramount</w:t>
      </w:r>
    </w:p>
    <w:p>
      <w:pPr>
        <w:widowControl w:val="0"/>
        <w:numPr>
          <w:ilvl w:val="0"/>
          <w:numId w:val="24"/>
        </w:numPr>
        <w:spacing w:after="0" w:line="240" w:lineRule="auto"/>
        <w:ind w:left="1080"/>
        <w:rPr>
          <w:rFonts w:asciiTheme="minorHAnsi" w:hAnsiTheme="minorHAnsi" w:cstheme="minorHAnsi"/>
          <w:szCs w:val="24"/>
        </w:rPr>
      </w:pPr>
      <w:r>
        <w:rPr>
          <w:rFonts w:asciiTheme="minorHAnsi" w:hAnsiTheme="minorHAnsi" w:cstheme="minorHAnsi"/>
          <w:szCs w:val="24"/>
        </w:rPr>
        <w:t>All children, regardless of age, gender, ability, culture, race, language, religion or sexual identity, have equal rights to protection</w:t>
      </w:r>
    </w:p>
    <w:p>
      <w:pPr>
        <w:widowControl w:val="0"/>
        <w:numPr>
          <w:ilvl w:val="0"/>
          <w:numId w:val="24"/>
        </w:numPr>
        <w:spacing w:after="0" w:line="240" w:lineRule="auto"/>
        <w:ind w:left="1080"/>
        <w:rPr>
          <w:rFonts w:asciiTheme="minorHAnsi" w:hAnsiTheme="minorHAnsi" w:cstheme="minorHAnsi"/>
          <w:szCs w:val="24"/>
        </w:rPr>
      </w:pPr>
      <w:r>
        <w:rPr>
          <w:rFonts w:asciiTheme="minorHAnsi" w:hAnsiTheme="minorHAnsi" w:cstheme="minorHAnsi"/>
          <w:szCs w:val="24"/>
        </w:rPr>
        <w:t>All staff have an equal responsibility to act on any suspicion or information the child has shared that may suggest a child is at risk of harm</w:t>
      </w:r>
    </w:p>
    <w:p>
      <w:pPr>
        <w:widowControl w:val="0"/>
        <w:numPr>
          <w:ilvl w:val="0"/>
          <w:numId w:val="40"/>
        </w:numPr>
        <w:spacing w:after="0" w:line="240" w:lineRule="auto"/>
        <w:ind w:left="1080"/>
        <w:rPr>
          <w:rFonts w:asciiTheme="minorHAnsi" w:hAnsiTheme="minorHAnsi" w:cstheme="minorHAnsi"/>
          <w:szCs w:val="24"/>
        </w:rPr>
      </w:pPr>
      <w:r>
        <w:rPr>
          <w:rFonts w:asciiTheme="minorHAnsi" w:hAnsiTheme="minorHAnsi" w:cstheme="minorHAnsi"/>
          <w:szCs w:val="24"/>
        </w:rPr>
        <w:t>Pupils and staff involved in child protection issues will receive appropriate support</w:t>
      </w:r>
    </w:p>
    <w:p>
      <w:pPr>
        <w:widowControl w:val="0"/>
        <w:numPr>
          <w:ilvl w:val="0"/>
          <w:numId w:val="40"/>
        </w:numPr>
        <w:spacing w:after="0" w:line="240" w:lineRule="auto"/>
        <w:ind w:left="1080"/>
        <w:rPr>
          <w:rFonts w:asciiTheme="minorHAnsi" w:hAnsiTheme="minorHAnsi" w:cstheme="minorHAnsi"/>
          <w:szCs w:val="24"/>
        </w:rPr>
      </w:pPr>
      <w:r>
        <w:rPr>
          <w:rFonts w:asciiTheme="minorHAnsi" w:hAnsiTheme="minorHAnsi" w:cstheme="minorHAnsi"/>
          <w:szCs w:val="24"/>
        </w:rPr>
        <w:t xml:space="preserve">To take into account the wishes of the child when dealing with all safeguarding concerns, however, this will not be done if by doing so the child is put at greater risk of harm. </w:t>
      </w:r>
    </w:p>
    <w:p>
      <w:pPr>
        <w:widowControl w:val="0"/>
        <w:spacing w:after="0" w:line="240" w:lineRule="auto"/>
        <w:rPr>
          <w:rFonts w:asciiTheme="minorHAnsi" w:hAnsiTheme="minorHAnsi" w:cstheme="minorHAnsi"/>
          <w:szCs w:val="24"/>
        </w:rPr>
      </w:pPr>
    </w:p>
    <w:p>
      <w:pPr>
        <w:pStyle w:val="Heading2"/>
        <w:numPr>
          <w:ilvl w:val="0"/>
          <w:numId w:val="65"/>
        </w:numPr>
        <w:rPr>
          <w:rFonts w:asciiTheme="minorHAnsi" w:hAnsiTheme="minorHAnsi" w:cstheme="minorHAnsi"/>
          <w:sz w:val="18"/>
          <w:szCs w:val="24"/>
        </w:rPr>
      </w:pPr>
      <w:bookmarkStart w:id="7" w:name="_Toc172030587"/>
      <w:r>
        <w:rPr>
          <w:sz w:val="28"/>
        </w:rPr>
        <w:t>Definition of Safeguarding</w:t>
      </w:r>
      <w:bookmarkEnd w:id="7"/>
      <w:r>
        <w:rPr>
          <w:sz w:val="28"/>
        </w:rPr>
        <w:t xml:space="preserve"> </w:t>
      </w:r>
    </w:p>
    <w:p>
      <w:pPr>
        <w:rPr>
          <w:rFonts w:asciiTheme="minorHAnsi" w:hAnsiTheme="minorHAnsi" w:cstheme="minorHAnsi"/>
        </w:rPr>
      </w:pPr>
      <w:r>
        <w:rPr>
          <w:rFonts w:asciiTheme="minorHAnsi" w:hAnsiTheme="minorHAnsi" w:cstheme="minorHAnsi"/>
        </w:rPr>
        <w:t xml:space="preserve">Safeguarding and promoting the welfare of children is defined for the purposes of this policy, in line with KCSIE 25 as: </w:t>
      </w:r>
    </w:p>
    <w:p>
      <w:pPr>
        <w:widowControl w:val="0"/>
        <w:numPr>
          <w:ilvl w:val="0"/>
          <w:numId w:val="35"/>
        </w:numPr>
        <w:spacing w:after="0" w:line="240" w:lineRule="auto"/>
        <w:rPr>
          <w:rFonts w:asciiTheme="minorHAnsi" w:hAnsiTheme="minorHAnsi" w:cstheme="minorHAnsi"/>
        </w:rPr>
      </w:pPr>
      <w:r>
        <w:rPr>
          <w:rFonts w:asciiTheme="minorHAnsi" w:hAnsiTheme="minorHAnsi" w:cstheme="minorHAnsi"/>
        </w:rPr>
        <w:t xml:space="preserve">Providing help and support to meet the needs of children as soon as problems emerge </w:t>
      </w:r>
    </w:p>
    <w:p>
      <w:pPr>
        <w:widowControl w:val="0"/>
        <w:numPr>
          <w:ilvl w:val="0"/>
          <w:numId w:val="35"/>
        </w:numPr>
        <w:spacing w:after="0" w:line="240" w:lineRule="auto"/>
        <w:rPr>
          <w:rFonts w:asciiTheme="minorHAnsi" w:hAnsiTheme="minorHAnsi" w:cstheme="minorHAnsi"/>
        </w:rPr>
      </w:pPr>
      <w:r>
        <w:rPr>
          <w:rFonts w:asciiTheme="minorHAnsi" w:hAnsiTheme="minorHAnsi" w:cstheme="minorHAnsi"/>
        </w:rPr>
        <w:t xml:space="preserve">protecting children from maltreatment, whether that is within or outside the home, including online </w:t>
      </w:r>
    </w:p>
    <w:p>
      <w:pPr>
        <w:widowControl w:val="0"/>
        <w:numPr>
          <w:ilvl w:val="0"/>
          <w:numId w:val="35"/>
        </w:numPr>
        <w:spacing w:after="0" w:line="240" w:lineRule="auto"/>
        <w:rPr>
          <w:rFonts w:asciiTheme="minorHAnsi" w:hAnsiTheme="minorHAnsi" w:cstheme="minorHAnsi"/>
        </w:rPr>
      </w:pPr>
      <w:r>
        <w:rPr>
          <w:rFonts w:asciiTheme="minorHAnsi" w:hAnsiTheme="minorHAnsi" w:cstheme="minorHAnsi"/>
        </w:rPr>
        <w:t xml:space="preserve">preventing the impairment of children’s mental and physical health or development </w:t>
      </w:r>
    </w:p>
    <w:p>
      <w:pPr>
        <w:widowControl w:val="0"/>
        <w:numPr>
          <w:ilvl w:val="0"/>
          <w:numId w:val="35"/>
        </w:numPr>
        <w:spacing w:after="0" w:line="240" w:lineRule="auto"/>
        <w:rPr>
          <w:rFonts w:asciiTheme="minorHAnsi" w:hAnsiTheme="minorHAnsi" w:cstheme="minorHAnsi"/>
        </w:rPr>
      </w:pPr>
      <w:r>
        <w:rPr>
          <w:rFonts w:asciiTheme="minorHAnsi" w:hAnsiTheme="minorHAnsi" w:cstheme="minorHAnsi"/>
        </w:rPr>
        <w:t>ensuring that children grow up in circumstances consistent with the provision of safe and effective care</w:t>
      </w:r>
    </w:p>
    <w:p>
      <w:pPr>
        <w:widowControl w:val="0"/>
        <w:numPr>
          <w:ilvl w:val="0"/>
          <w:numId w:val="35"/>
        </w:numPr>
        <w:spacing w:after="0" w:line="240" w:lineRule="auto"/>
        <w:rPr>
          <w:rFonts w:asciiTheme="minorHAnsi" w:hAnsiTheme="minorHAnsi" w:cstheme="minorHAnsi"/>
        </w:rPr>
      </w:pPr>
      <w:r>
        <w:rPr>
          <w:rFonts w:asciiTheme="minorHAnsi" w:hAnsiTheme="minorHAnsi" w:cstheme="minorHAnsi"/>
        </w:rPr>
        <w:t>taking action to enable all children to have the best outcomes.’</w:t>
      </w:r>
    </w:p>
    <w:p>
      <w:pPr>
        <w:rPr>
          <w:rFonts w:asciiTheme="minorHAnsi" w:hAnsiTheme="minorHAnsi" w:cstheme="minorHAnsi"/>
        </w:rPr>
      </w:pPr>
    </w:p>
    <w:p>
      <w:pPr>
        <w:spacing w:after="0"/>
        <w:rPr>
          <w:rFonts w:asciiTheme="minorHAnsi" w:hAnsiTheme="minorHAnsi" w:cstheme="minorHAnsi"/>
        </w:rPr>
      </w:pPr>
      <w:r>
        <w:rPr>
          <w:rFonts w:asciiTheme="minorHAnsi" w:hAnsiTheme="minorHAnsi" w:cstheme="minorHAnsi"/>
          <w:b/>
        </w:rPr>
        <w:t>‘No single practitioner can have a full picture of a child’s needs and circumstances. If children and families are to receive the right help at the right time, everyone who comes into contact with them has a role to play in identifying concerns, sharing information and taking prompt action.’</w:t>
      </w:r>
    </w:p>
    <w:p>
      <w:pPr>
        <w:rPr>
          <w:rFonts w:asciiTheme="minorHAnsi" w:hAnsiTheme="minorHAnsi" w:cstheme="minorHAnsi"/>
        </w:rPr>
      </w:pPr>
      <w:bookmarkStart w:id="8" w:name="_heading=h.ua8ek4kco7ad" w:colFirst="0" w:colLast="0"/>
      <w:bookmarkEnd w:id="8"/>
    </w:p>
    <w:p>
      <w:pPr>
        <w:pStyle w:val="Heading2"/>
        <w:rPr>
          <w:color w:val="0000FF"/>
          <w:sz w:val="28"/>
          <w:highlight w:val="yellow"/>
        </w:rPr>
      </w:pPr>
      <w:bookmarkStart w:id="9" w:name="_Toc172030588"/>
      <w:r>
        <w:rPr>
          <w:sz w:val="28"/>
        </w:rPr>
        <w:lastRenderedPageBreak/>
        <w:t>4. Aims</w:t>
      </w:r>
      <w:bookmarkEnd w:id="9"/>
    </w:p>
    <w:p>
      <w:pPr>
        <w:spacing w:after="0"/>
        <w:rPr>
          <w:rFonts w:asciiTheme="minorHAnsi" w:hAnsiTheme="minorHAnsi" w:cstheme="minorHAnsi"/>
        </w:rPr>
      </w:pPr>
      <w:r>
        <w:rPr>
          <w:rFonts w:asciiTheme="minorHAnsi" w:hAnsiTheme="minorHAnsi" w:cstheme="minorHAnsi"/>
        </w:rPr>
        <w:t xml:space="preserve">Our safeguarding aims are founded on the principles encapsulated by the acronym </w:t>
      </w:r>
      <w:r>
        <w:rPr>
          <w:rFonts w:asciiTheme="minorHAnsi" w:hAnsiTheme="minorHAnsi" w:cstheme="minorHAnsi"/>
          <w:b/>
          <w:color w:val="FF0000"/>
        </w:rPr>
        <w:t>ACT</w:t>
      </w:r>
      <w:r>
        <w:rPr>
          <w:rFonts w:asciiTheme="minorHAnsi" w:hAnsiTheme="minorHAnsi" w:cstheme="minorHAnsi"/>
        </w:rPr>
        <w:t xml:space="preserve"> to reinforce the importance for all staff to take action on any concerns, however small, they may have.</w:t>
      </w:r>
    </w:p>
    <w:p>
      <w:pPr>
        <w:spacing w:before="240" w:after="240"/>
        <w:rPr>
          <w:rFonts w:asciiTheme="minorHAnsi" w:hAnsiTheme="minorHAnsi" w:cstheme="minorHAnsi"/>
        </w:rPr>
      </w:pPr>
      <w:r>
        <w:rPr>
          <w:rFonts w:asciiTheme="minorHAnsi" w:hAnsiTheme="minorHAnsi" w:cstheme="minorHAnsi"/>
        </w:rPr>
        <w:t>The school aims to ensure that:</w:t>
      </w:r>
    </w:p>
    <w:p>
      <w:pPr>
        <w:spacing w:after="0" w:line="240" w:lineRule="auto"/>
        <w:rPr>
          <w:rFonts w:asciiTheme="minorHAnsi" w:hAnsiTheme="minorHAnsi" w:cstheme="minorHAnsi"/>
        </w:rPr>
      </w:pPr>
      <w:r>
        <w:rPr>
          <w:rFonts w:asciiTheme="minorHAnsi" w:hAnsiTheme="minorHAnsi" w:cstheme="minorHAnsi"/>
        </w:rPr>
        <w:t>Staff are</w:t>
      </w:r>
      <w:r>
        <w:rPr>
          <w:rFonts w:asciiTheme="minorHAnsi" w:hAnsiTheme="minorHAnsi" w:cstheme="minorHAnsi"/>
          <w:b/>
        </w:rPr>
        <w:t xml:space="preserve"> </w:t>
      </w:r>
      <w:r>
        <w:rPr>
          <w:rFonts w:asciiTheme="minorHAnsi" w:hAnsiTheme="minorHAnsi" w:cstheme="minorHAnsi"/>
          <w:b/>
          <w:color w:val="FF0000"/>
          <w:sz w:val="28"/>
        </w:rPr>
        <w:t>A</w:t>
      </w:r>
      <w:r>
        <w:rPr>
          <w:rFonts w:asciiTheme="minorHAnsi" w:hAnsiTheme="minorHAnsi" w:cstheme="minorHAnsi"/>
          <w:b/>
        </w:rPr>
        <w:t>ware:</w:t>
      </w:r>
      <w:r>
        <w:rPr>
          <w:rFonts w:asciiTheme="minorHAnsi" w:hAnsiTheme="minorHAnsi" w:cstheme="minorHAnsi"/>
        </w:rPr>
        <w:t xml:space="preserve"> </w:t>
      </w:r>
    </w:p>
    <w:p>
      <w:pPr>
        <w:numPr>
          <w:ilvl w:val="0"/>
          <w:numId w:val="4"/>
        </w:numPr>
        <w:spacing w:after="0" w:line="240" w:lineRule="auto"/>
        <w:rPr>
          <w:rFonts w:asciiTheme="minorHAnsi" w:hAnsiTheme="minorHAnsi" w:cstheme="minorHAnsi"/>
        </w:rPr>
      </w:pPr>
      <w:r>
        <w:rPr>
          <w:rFonts w:asciiTheme="minorHAnsi" w:hAnsiTheme="minorHAnsi" w:cstheme="minorHAnsi"/>
        </w:rPr>
        <w:t>All staff are aware of their statutory responsibilities concerning safeguarding</w:t>
      </w:r>
    </w:p>
    <w:p>
      <w:pPr>
        <w:spacing w:after="0" w:line="240" w:lineRule="auto"/>
        <w:rPr>
          <w:rFonts w:asciiTheme="minorHAnsi" w:hAnsiTheme="minorHAnsi" w:cstheme="minorHAnsi"/>
        </w:rPr>
      </w:pPr>
    </w:p>
    <w:p>
      <w:pPr>
        <w:spacing w:after="0" w:line="240" w:lineRule="auto"/>
        <w:rPr>
          <w:rFonts w:asciiTheme="minorHAnsi" w:hAnsiTheme="minorHAnsi" w:cstheme="minorHAnsi"/>
          <w:b/>
        </w:rPr>
      </w:pPr>
      <w:r>
        <w:rPr>
          <w:rFonts w:asciiTheme="minorHAnsi" w:hAnsiTheme="minorHAnsi" w:cstheme="minorHAnsi"/>
        </w:rPr>
        <w:t>Staff are</w:t>
      </w:r>
      <w:r>
        <w:rPr>
          <w:rFonts w:asciiTheme="minorHAnsi" w:hAnsiTheme="minorHAnsi" w:cstheme="minorHAnsi"/>
          <w:color w:val="FF0000"/>
        </w:rPr>
        <w:t xml:space="preserve"> </w:t>
      </w:r>
      <w:r>
        <w:rPr>
          <w:rFonts w:asciiTheme="minorHAnsi" w:hAnsiTheme="minorHAnsi" w:cstheme="minorHAnsi"/>
          <w:b/>
          <w:color w:val="FF0000"/>
          <w:sz w:val="28"/>
        </w:rPr>
        <w:t>C</w:t>
      </w:r>
      <w:r>
        <w:rPr>
          <w:rFonts w:asciiTheme="minorHAnsi" w:hAnsiTheme="minorHAnsi" w:cstheme="minorHAnsi"/>
          <w:b/>
        </w:rPr>
        <w:t xml:space="preserve">ompetent: </w:t>
      </w:r>
    </w:p>
    <w:p>
      <w:pPr>
        <w:numPr>
          <w:ilvl w:val="0"/>
          <w:numId w:val="27"/>
        </w:numPr>
        <w:spacing w:after="0" w:line="240" w:lineRule="auto"/>
        <w:rPr>
          <w:rFonts w:asciiTheme="minorHAnsi" w:hAnsiTheme="minorHAnsi" w:cstheme="minorHAnsi"/>
        </w:rPr>
      </w:pPr>
      <w:r>
        <w:rPr>
          <w:rFonts w:asciiTheme="minorHAnsi" w:hAnsiTheme="minorHAnsi" w:cstheme="minorHAnsi"/>
        </w:rPr>
        <w:t xml:space="preserve">Staff are properly trained in </w:t>
      </w:r>
      <w:proofErr w:type="spellStart"/>
      <w:r>
        <w:rPr>
          <w:rFonts w:asciiTheme="minorHAnsi" w:hAnsiTheme="minorHAnsi" w:cstheme="minorHAnsi"/>
        </w:rPr>
        <w:t>recognising</w:t>
      </w:r>
      <w:proofErr w:type="spellEnd"/>
      <w:r>
        <w:rPr>
          <w:rFonts w:asciiTheme="minorHAnsi" w:hAnsiTheme="minorHAnsi" w:cstheme="minorHAnsi"/>
        </w:rPr>
        <w:t xml:space="preserve"> and reporting safeguarding issues</w:t>
      </w:r>
    </w:p>
    <w:p>
      <w:pPr>
        <w:spacing w:after="0" w:line="240" w:lineRule="auto"/>
        <w:rPr>
          <w:rFonts w:asciiTheme="minorHAnsi" w:hAnsiTheme="minorHAnsi" w:cstheme="minorHAnsi"/>
        </w:rPr>
      </w:pPr>
    </w:p>
    <w:p>
      <w:pPr>
        <w:spacing w:after="0" w:line="240" w:lineRule="auto"/>
        <w:rPr>
          <w:rFonts w:asciiTheme="minorHAnsi" w:hAnsiTheme="minorHAnsi" w:cstheme="minorHAnsi"/>
        </w:rPr>
      </w:pPr>
      <w:r>
        <w:rPr>
          <w:rFonts w:asciiTheme="minorHAnsi" w:hAnsiTheme="minorHAnsi" w:cstheme="minorHAnsi"/>
        </w:rPr>
        <w:t xml:space="preserve">Staff </w:t>
      </w:r>
      <w:r>
        <w:rPr>
          <w:rFonts w:asciiTheme="minorHAnsi" w:hAnsiTheme="minorHAnsi" w:cstheme="minorHAnsi"/>
          <w:b/>
          <w:color w:val="FF0000"/>
          <w:sz w:val="28"/>
        </w:rPr>
        <w:t>T</w:t>
      </w:r>
      <w:r>
        <w:rPr>
          <w:rFonts w:asciiTheme="minorHAnsi" w:hAnsiTheme="minorHAnsi" w:cstheme="minorHAnsi"/>
          <w:b/>
        </w:rPr>
        <w:t>ake Action:</w:t>
      </w:r>
      <w:r>
        <w:rPr>
          <w:rFonts w:asciiTheme="minorHAnsi" w:hAnsiTheme="minorHAnsi" w:cstheme="minorHAnsi"/>
        </w:rPr>
        <w:t xml:space="preserve"> </w:t>
      </w:r>
    </w:p>
    <w:p>
      <w:pPr>
        <w:numPr>
          <w:ilvl w:val="0"/>
          <w:numId w:val="41"/>
        </w:numPr>
        <w:spacing w:after="0" w:line="240" w:lineRule="auto"/>
        <w:rPr>
          <w:rFonts w:asciiTheme="minorHAnsi" w:hAnsiTheme="minorHAnsi" w:cstheme="minorHAnsi"/>
        </w:rPr>
      </w:pPr>
      <w:r>
        <w:rPr>
          <w:rFonts w:asciiTheme="minorHAnsi" w:hAnsiTheme="minorHAnsi" w:cstheme="minorHAnsi"/>
        </w:rPr>
        <w:t>Appropriate action is taken promptly to safeguard and promote children’s welfare</w:t>
      </w:r>
    </w:p>
    <w:p>
      <w:pPr>
        <w:pStyle w:val="Heading2"/>
        <w:rPr>
          <w:sz w:val="28"/>
        </w:rPr>
      </w:pPr>
      <w:bookmarkStart w:id="10" w:name="_heading=h.ivo9p16kyfpn" w:colFirst="0" w:colLast="0"/>
      <w:bookmarkStart w:id="11" w:name="_Toc172030589"/>
      <w:bookmarkEnd w:id="10"/>
      <w:r>
        <w:rPr>
          <w:sz w:val="28"/>
        </w:rPr>
        <w:t>5. Legislation and statutory guidance</w:t>
      </w:r>
      <w:bookmarkEnd w:id="11"/>
    </w:p>
    <w:p>
      <w:pPr>
        <w:spacing w:before="240" w:after="240"/>
        <w:rPr>
          <w:rFonts w:asciiTheme="minorHAnsi" w:hAnsiTheme="minorHAnsi" w:cstheme="minorHAnsi"/>
        </w:rPr>
      </w:pPr>
      <w:r>
        <w:rPr>
          <w:rFonts w:asciiTheme="minorHAnsi" w:hAnsiTheme="minorHAnsi" w:cstheme="minorHAnsi"/>
        </w:rPr>
        <w:t>This policy is based on the Department for Education’s (DfE’s) statutory guidance</w:t>
      </w:r>
      <w:hyperlink r:id="rId12">
        <w:r>
          <w:rPr>
            <w:rFonts w:asciiTheme="minorHAnsi" w:hAnsiTheme="minorHAnsi" w:cstheme="minorHAnsi"/>
          </w:rPr>
          <w:t xml:space="preserve"> </w:t>
        </w:r>
      </w:hyperlink>
      <w:hyperlink r:id="rId13" w:history="1">
        <w:r>
          <w:rPr>
            <w:rStyle w:val="Hyperlink"/>
            <w:rFonts w:asciiTheme="minorHAnsi" w:hAnsiTheme="minorHAnsi" w:cstheme="minorHAnsi"/>
          </w:rPr>
          <w:t>Keeping Children Safe in Education</w:t>
        </w:r>
      </w:hyperlink>
      <w:r>
        <w:rPr>
          <w:rFonts w:asciiTheme="minorHAnsi" w:hAnsiTheme="minorHAnsi" w:cstheme="minorHAnsi"/>
        </w:rPr>
        <w:t xml:space="preserve"> and</w:t>
      </w:r>
      <w:hyperlink r:id="rId14">
        <w:r>
          <w:rPr>
            <w:rFonts w:asciiTheme="minorHAnsi" w:hAnsiTheme="minorHAnsi" w:cstheme="minorHAnsi"/>
            <w:color w:val="FF0000"/>
          </w:rPr>
          <w:t xml:space="preserve"> </w:t>
        </w:r>
      </w:hyperlink>
      <w:hyperlink r:id="rId15">
        <w:r>
          <w:rPr>
            <w:rFonts w:asciiTheme="minorHAnsi" w:hAnsiTheme="minorHAnsi" w:cstheme="minorHAnsi"/>
            <w:color w:val="1155CC"/>
            <w:u w:val="single"/>
          </w:rPr>
          <w:t>Working Together to Safeguard Children (2023)</w:t>
        </w:r>
      </w:hyperlink>
      <w:r>
        <w:rPr>
          <w:rFonts w:asciiTheme="minorHAnsi" w:hAnsiTheme="minorHAnsi" w:cstheme="minorHAnsi"/>
        </w:rPr>
        <w:t>,</w:t>
      </w:r>
      <w:r>
        <w:rPr>
          <w:rFonts w:asciiTheme="minorHAnsi" w:hAnsiTheme="minorHAnsi" w:cstheme="minorHAnsi"/>
          <w:color w:val="FF0000"/>
        </w:rPr>
        <w:t xml:space="preserve"> </w:t>
      </w:r>
      <w:r>
        <w:rPr>
          <w:rFonts w:asciiTheme="minorHAnsi" w:hAnsiTheme="minorHAnsi" w:cstheme="minorHAnsi"/>
        </w:rPr>
        <w:t>and the</w:t>
      </w:r>
      <w:hyperlink r:id="rId16">
        <w:r>
          <w:rPr>
            <w:rFonts w:asciiTheme="minorHAnsi" w:hAnsiTheme="minorHAnsi" w:cstheme="minorHAnsi"/>
          </w:rPr>
          <w:t xml:space="preserve"> </w:t>
        </w:r>
      </w:hyperlink>
      <w:hyperlink r:id="rId17">
        <w:r>
          <w:rPr>
            <w:rFonts w:asciiTheme="minorHAnsi" w:hAnsiTheme="minorHAnsi" w:cstheme="minorHAnsi"/>
            <w:color w:val="1155CC"/>
            <w:u w:val="single"/>
          </w:rPr>
          <w:t>Governance Handbook</w:t>
        </w:r>
      </w:hyperlink>
      <w:r>
        <w:rPr>
          <w:rFonts w:asciiTheme="minorHAnsi" w:hAnsiTheme="minorHAnsi" w:cstheme="minorHAnsi"/>
        </w:rPr>
        <w:t xml:space="preserve">. We comply with this guidance and the arrangements agreed and published by our 3 local safeguarding partners (see section 3) </w:t>
      </w:r>
      <w:hyperlink r:id="rId18">
        <w:r>
          <w:rPr>
            <w:rFonts w:asciiTheme="minorHAnsi" w:hAnsiTheme="minorHAnsi" w:cstheme="minorHAnsi"/>
            <w:color w:val="1155CC"/>
            <w:u w:val="single"/>
          </w:rPr>
          <w:t>https://www.southampton.gov.uk/children-families/childrens-social-care/southampton-safeguarding-children-partnership/</w:t>
        </w:r>
      </w:hyperlink>
      <w:r>
        <w:rPr>
          <w:rFonts w:asciiTheme="minorHAnsi" w:hAnsiTheme="minorHAnsi" w:cstheme="minorHAnsi"/>
        </w:rPr>
        <w:t xml:space="preserve"> .</w:t>
      </w:r>
    </w:p>
    <w:p>
      <w:pPr>
        <w:spacing w:after="0" w:line="276" w:lineRule="auto"/>
        <w:rPr>
          <w:rFonts w:asciiTheme="minorHAnsi" w:hAnsiTheme="minorHAnsi" w:cstheme="minorHAnsi"/>
        </w:rPr>
      </w:pPr>
      <w:r>
        <w:rPr>
          <w:rFonts w:asciiTheme="minorHAnsi" w:hAnsiTheme="minorHAnsi" w:cstheme="minorHAnsi"/>
          <w:b/>
        </w:rPr>
        <w:t>All staff must read Part One of KCSIE 2025 and Annex B.</w:t>
      </w:r>
    </w:p>
    <w:p>
      <w:pPr>
        <w:spacing w:before="240" w:after="240"/>
        <w:rPr>
          <w:rFonts w:asciiTheme="minorHAnsi" w:hAnsiTheme="minorHAnsi" w:cstheme="minorHAnsi"/>
        </w:rPr>
      </w:pPr>
      <w:r>
        <w:rPr>
          <w:rFonts w:asciiTheme="minorHAnsi" w:hAnsiTheme="minorHAnsi" w:cstheme="minorHAnsi"/>
        </w:rPr>
        <w:t>This policy is also based on the following legislation:</w:t>
      </w:r>
    </w:p>
    <w:p>
      <w:pPr>
        <w:pStyle w:val="ListParagraph"/>
        <w:numPr>
          <w:ilvl w:val="0"/>
          <w:numId w:val="51"/>
        </w:numPr>
        <w:spacing w:before="240" w:after="0"/>
        <w:rPr>
          <w:rFonts w:asciiTheme="minorHAnsi" w:hAnsiTheme="minorHAnsi" w:cstheme="minorHAnsi"/>
        </w:rPr>
      </w:pPr>
      <w:r>
        <w:rPr>
          <w:rFonts w:asciiTheme="minorHAnsi" w:hAnsiTheme="minorHAnsi" w:cstheme="minorHAnsi"/>
        </w:rPr>
        <w:t>Section 175 of the</w:t>
      </w:r>
      <w:hyperlink r:id="rId19">
        <w:r>
          <w:rPr>
            <w:rFonts w:asciiTheme="minorHAnsi" w:hAnsiTheme="minorHAnsi" w:cstheme="minorHAnsi"/>
          </w:rPr>
          <w:t xml:space="preserve"> </w:t>
        </w:r>
      </w:hyperlink>
      <w:hyperlink r:id="rId20">
        <w:r>
          <w:rPr>
            <w:rFonts w:asciiTheme="minorHAnsi" w:hAnsiTheme="minorHAnsi" w:cstheme="minorHAnsi"/>
            <w:color w:val="1155CC"/>
            <w:u w:val="single"/>
          </w:rPr>
          <w:t>Education Act 2002</w:t>
        </w:r>
      </w:hyperlink>
      <w:r>
        <w:rPr>
          <w:rFonts w:asciiTheme="minorHAnsi" w:hAnsiTheme="minorHAnsi" w:cstheme="minorHAnsi"/>
        </w:rPr>
        <w:t>, which places a duty on schools and local authorities to safeguard and promote the welfare of pupils.</w:t>
      </w:r>
    </w:p>
    <w:p>
      <w:pPr>
        <w:numPr>
          <w:ilvl w:val="0"/>
          <w:numId w:val="46"/>
        </w:numPr>
        <w:spacing w:after="0"/>
        <w:rPr>
          <w:rFonts w:asciiTheme="minorHAnsi" w:hAnsiTheme="minorHAnsi" w:cstheme="minorHAnsi"/>
        </w:rPr>
      </w:pPr>
      <w:hyperlink r:id="rId21">
        <w:r>
          <w:rPr>
            <w:rFonts w:asciiTheme="minorHAnsi" w:hAnsiTheme="minorHAnsi" w:cstheme="minorHAnsi"/>
            <w:color w:val="1155CC"/>
            <w:u w:val="single"/>
          </w:rPr>
          <w:t>The School Staffing (England) Regulations 2009</w:t>
        </w:r>
      </w:hyperlink>
      <w:r>
        <w:rPr>
          <w:rFonts w:asciiTheme="minorHAnsi" w:hAnsiTheme="minorHAnsi" w:cstheme="minorHAnsi"/>
        </w:rPr>
        <w:t>, which set out what must be recorded on the single central record and the requirement for at least 1 person conducting an interview to be trained in safer recruitment techniques.</w:t>
      </w:r>
    </w:p>
    <w:p>
      <w:pPr>
        <w:numPr>
          <w:ilvl w:val="0"/>
          <w:numId w:val="46"/>
        </w:numPr>
        <w:spacing w:after="0"/>
        <w:rPr>
          <w:rFonts w:asciiTheme="minorHAnsi" w:hAnsiTheme="minorHAnsi" w:cstheme="minorHAnsi"/>
        </w:rPr>
      </w:pPr>
      <w:hyperlink r:id="rId22">
        <w:r>
          <w:rPr>
            <w:rFonts w:asciiTheme="minorHAnsi" w:hAnsiTheme="minorHAnsi" w:cstheme="minorHAnsi"/>
            <w:color w:val="1155CC"/>
            <w:u w:val="single"/>
          </w:rPr>
          <w:t>The Children Act 1989</w:t>
        </w:r>
      </w:hyperlink>
      <w:r>
        <w:rPr>
          <w:rFonts w:asciiTheme="minorHAnsi" w:hAnsiTheme="minorHAnsi" w:cstheme="minorHAnsi"/>
        </w:rPr>
        <w:t xml:space="preserve"> (and</w:t>
      </w:r>
      <w:hyperlink r:id="rId23">
        <w:r>
          <w:rPr>
            <w:rFonts w:asciiTheme="minorHAnsi" w:hAnsiTheme="minorHAnsi" w:cstheme="minorHAnsi"/>
          </w:rPr>
          <w:t xml:space="preserve"> </w:t>
        </w:r>
      </w:hyperlink>
      <w:hyperlink r:id="rId24">
        <w:r>
          <w:rPr>
            <w:rFonts w:asciiTheme="minorHAnsi" w:hAnsiTheme="minorHAnsi" w:cstheme="minorHAnsi"/>
            <w:color w:val="1155CC"/>
            <w:u w:val="single"/>
          </w:rPr>
          <w:t>2004 amendment</w:t>
        </w:r>
      </w:hyperlink>
      <w:r>
        <w:rPr>
          <w:rFonts w:asciiTheme="minorHAnsi" w:hAnsiTheme="minorHAnsi" w:cstheme="minorHAnsi"/>
        </w:rPr>
        <w:t>), which provides a framework for the care and protection of children.</w:t>
      </w:r>
    </w:p>
    <w:p>
      <w:pPr>
        <w:numPr>
          <w:ilvl w:val="0"/>
          <w:numId w:val="46"/>
        </w:numPr>
        <w:spacing w:after="0"/>
        <w:rPr>
          <w:rFonts w:asciiTheme="minorHAnsi" w:hAnsiTheme="minorHAnsi" w:cstheme="minorHAnsi"/>
        </w:rPr>
      </w:pPr>
      <w:r>
        <w:rPr>
          <w:rFonts w:asciiTheme="minorHAnsi" w:hAnsiTheme="minorHAnsi" w:cstheme="minorHAnsi"/>
        </w:rPr>
        <w:t>Section 5B(11) of the Female Genital Mutilation Act 2003, as inserted by section 74 of the</w:t>
      </w:r>
      <w:hyperlink r:id="rId25">
        <w:r>
          <w:rPr>
            <w:rFonts w:asciiTheme="minorHAnsi" w:hAnsiTheme="minorHAnsi" w:cstheme="minorHAnsi"/>
          </w:rPr>
          <w:t xml:space="preserve"> </w:t>
        </w:r>
      </w:hyperlink>
      <w:hyperlink r:id="rId26">
        <w:r>
          <w:rPr>
            <w:rFonts w:asciiTheme="minorHAnsi" w:hAnsiTheme="minorHAnsi" w:cstheme="minorHAnsi"/>
            <w:color w:val="1155CC"/>
            <w:u w:val="single"/>
          </w:rPr>
          <w:t>Serious Crime Act 2015</w:t>
        </w:r>
      </w:hyperlink>
      <w:r>
        <w:rPr>
          <w:rFonts w:asciiTheme="minorHAnsi" w:hAnsiTheme="minorHAnsi" w:cstheme="minorHAnsi"/>
        </w:rPr>
        <w:t>, which places a statutory duty on teachers to report to the police where they discover that female genital mutilation (FGM) appears to have been carried out on a girl under 18.</w:t>
      </w:r>
    </w:p>
    <w:p>
      <w:pPr>
        <w:numPr>
          <w:ilvl w:val="0"/>
          <w:numId w:val="46"/>
        </w:numPr>
        <w:spacing w:after="0"/>
        <w:rPr>
          <w:rFonts w:asciiTheme="minorHAnsi" w:hAnsiTheme="minorHAnsi" w:cstheme="minorHAnsi"/>
        </w:rPr>
      </w:pPr>
      <w:hyperlink r:id="rId27">
        <w:r>
          <w:rPr>
            <w:rFonts w:asciiTheme="minorHAnsi" w:hAnsiTheme="minorHAnsi" w:cstheme="minorHAnsi"/>
            <w:color w:val="1155CC"/>
            <w:u w:val="single"/>
          </w:rPr>
          <w:t>Statutory guidance on FGM</w:t>
        </w:r>
      </w:hyperlink>
      <w:r>
        <w:rPr>
          <w:rFonts w:asciiTheme="minorHAnsi" w:hAnsiTheme="minorHAnsi" w:cstheme="minorHAnsi"/>
        </w:rPr>
        <w:t>, which sets out responsibilities with regards to safeguarding and supporting girls affected by FGM.</w:t>
      </w:r>
    </w:p>
    <w:p>
      <w:pPr>
        <w:numPr>
          <w:ilvl w:val="0"/>
          <w:numId w:val="46"/>
        </w:numPr>
        <w:spacing w:after="0"/>
        <w:rPr>
          <w:rFonts w:asciiTheme="minorHAnsi" w:hAnsiTheme="minorHAnsi" w:cstheme="minorHAnsi"/>
        </w:rPr>
      </w:pPr>
      <w:hyperlink r:id="rId28">
        <w:r>
          <w:rPr>
            <w:rFonts w:asciiTheme="minorHAnsi" w:hAnsiTheme="minorHAnsi" w:cstheme="minorHAnsi"/>
            <w:color w:val="1155CC"/>
            <w:u w:val="single"/>
          </w:rPr>
          <w:t>The Rehabilitation of Offenders Act 1974</w:t>
        </w:r>
      </w:hyperlink>
      <w:r>
        <w:rPr>
          <w:rFonts w:asciiTheme="minorHAnsi" w:hAnsiTheme="minorHAnsi" w:cstheme="minorHAnsi"/>
        </w:rPr>
        <w:t>, which outlines when people with criminal convictions can work with children.</w:t>
      </w:r>
    </w:p>
    <w:p>
      <w:pPr>
        <w:numPr>
          <w:ilvl w:val="0"/>
          <w:numId w:val="46"/>
        </w:numPr>
        <w:spacing w:after="0"/>
        <w:rPr>
          <w:rFonts w:asciiTheme="minorHAnsi" w:hAnsiTheme="minorHAnsi" w:cstheme="minorHAnsi"/>
        </w:rPr>
      </w:pPr>
      <w:r>
        <w:rPr>
          <w:rFonts w:asciiTheme="minorHAnsi" w:hAnsiTheme="minorHAnsi" w:cstheme="minorHAnsi"/>
        </w:rPr>
        <w:t>Schedule 4 of the</w:t>
      </w:r>
      <w:hyperlink r:id="rId29">
        <w:r>
          <w:rPr>
            <w:rFonts w:asciiTheme="minorHAnsi" w:hAnsiTheme="minorHAnsi" w:cstheme="minorHAnsi"/>
          </w:rPr>
          <w:t xml:space="preserve"> </w:t>
        </w:r>
      </w:hyperlink>
      <w:hyperlink r:id="rId30">
        <w:r>
          <w:rPr>
            <w:rFonts w:asciiTheme="minorHAnsi" w:hAnsiTheme="minorHAnsi" w:cstheme="minorHAnsi"/>
            <w:color w:val="1155CC"/>
            <w:u w:val="single"/>
          </w:rPr>
          <w:t>Safeguarding Vulnerable Groups Act 2006</w:t>
        </w:r>
      </w:hyperlink>
      <w:r>
        <w:rPr>
          <w:rFonts w:asciiTheme="minorHAnsi" w:hAnsiTheme="minorHAnsi" w:cstheme="minorHAnsi"/>
        </w:rPr>
        <w:t>, which defines what ‘regulated activity’ is in relation to children.</w:t>
      </w:r>
    </w:p>
    <w:p>
      <w:pPr>
        <w:numPr>
          <w:ilvl w:val="0"/>
          <w:numId w:val="46"/>
        </w:numPr>
        <w:spacing w:after="0"/>
        <w:rPr>
          <w:rFonts w:asciiTheme="minorHAnsi" w:hAnsiTheme="minorHAnsi" w:cstheme="minorHAnsi"/>
        </w:rPr>
      </w:pPr>
      <w:hyperlink r:id="rId31">
        <w:r>
          <w:rPr>
            <w:rFonts w:asciiTheme="minorHAnsi" w:hAnsiTheme="minorHAnsi" w:cstheme="minorHAnsi"/>
            <w:color w:val="1155CC"/>
            <w:u w:val="single"/>
          </w:rPr>
          <w:t>Statutory guidance on the Prevent duty</w:t>
        </w:r>
      </w:hyperlink>
      <w:r>
        <w:rPr>
          <w:rFonts w:asciiTheme="minorHAnsi" w:hAnsiTheme="minorHAnsi" w:cstheme="minorHAnsi"/>
        </w:rPr>
        <w:t xml:space="preserve">, which explains schools’ duties under the Counter-Terrorism and Security Act 2015 with respect to protecting people from the risk of </w:t>
      </w:r>
      <w:proofErr w:type="spellStart"/>
      <w:r>
        <w:rPr>
          <w:rFonts w:asciiTheme="minorHAnsi" w:hAnsiTheme="minorHAnsi" w:cstheme="minorHAnsi"/>
        </w:rPr>
        <w:t>radicalisation</w:t>
      </w:r>
      <w:proofErr w:type="spellEnd"/>
      <w:r>
        <w:rPr>
          <w:rFonts w:asciiTheme="minorHAnsi" w:hAnsiTheme="minorHAnsi" w:cstheme="minorHAnsi"/>
        </w:rPr>
        <w:t xml:space="preserve"> and extremism.</w:t>
      </w:r>
    </w:p>
    <w:p>
      <w:pPr>
        <w:numPr>
          <w:ilvl w:val="0"/>
          <w:numId w:val="46"/>
        </w:numPr>
        <w:spacing w:after="0"/>
        <w:rPr>
          <w:rFonts w:asciiTheme="minorHAnsi" w:hAnsiTheme="minorHAnsi" w:cstheme="minorHAnsi"/>
        </w:rPr>
      </w:pPr>
      <w:hyperlink r:id="rId32">
        <w:r>
          <w:rPr>
            <w:rFonts w:asciiTheme="minorHAnsi" w:hAnsiTheme="minorHAnsi" w:cstheme="minorHAnsi"/>
            <w:color w:val="1155CC"/>
            <w:u w:val="single"/>
          </w:rPr>
          <w:t>The Human Rights Act 1998</w:t>
        </w:r>
      </w:hyperlink>
      <w:r>
        <w:rPr>
          <w:rFonts w:asciiTheme="minorHAnsi" w:hAnsiTheme="minorHAnsi" w:cstheme="minorHAnsi"/>
        </w:rPr>
        <w:t>, which explains that being subjected to harassment, violence and/or abuse, including that of a sexual nature, may breach any or all of the rights which apply to individuals under the</w:t>
      </w:r>
      <w:hyperlink r:id="rId33">
        <w:r>
          <w:rPr>
            <w:rFonts w:asciiTheme="minorHAnsi" w:hAnsiTheme="minorHAnsi" w:cstheme="minorHAnsi"/>
          </w:rPr>
          <w:t xml:space="preserve"> </w:t>
        </w:r>
      </w:hyperlink>
      <w:hyperlink r:id="rId34">
        <w:r>
          <w:rPr>
            <w:rFonts w:asciiTheme="minorHAnsi" w:hAnsiTheme="minorHAnsi" w:cstheme="minorHAnsi"/>
            <w:color w:val="1155CC"/>
            <w:u w:val="single"/>
          </w:rPr>
          <w:t>European Convention on Human Rights</w:t>
        </w:r>
      </w:hyperlink>
      <w:r>
        <w:rPr>
          <w:rFonts w:asciiTheme="minorHAnsi" w:hAnsiTheme="minorHAnsi" w:cstheme="minorHAnsi"/>
        </w:rPr>
        <w:t xml:space="preserve"> (ECHR).</w:t>
      </w:r>
    </w:p>
    <w:p>
      <w:pPr>
        <w:numPr>
          <w:ilvl w:val="0"/>
          <w:numId w:val="46"/>
        </w:numPr>
        <w:spacing w:after="0"/>
        <w:rPr>
          <w:rFonts w:asciiTheme="minorHAnsi" w:hAnsiTheme="minorHAnsi" w:cstheme="minorHAnsi"/>
        </w:rPr>
      </w:pPr>
      <w:hyperlink r:id="rId35">
        <w:r>
          <w:rPr>
            <w:rFonts w:asciiTheme="minorHAnsi" w:hAnsiTheme="minorHAnsi" w:cstheme="minorHAnsi"/>
            <w:color w:val="1155CC"/>
            <w:u w:val="single"/>
          </w:rPr>
          <w:t>The Equality Act 2010</w:t>
        </w:r>
      </w:hyperlink>
      <w:r>
        <w:rPr>
          <w:rFonts w:asciiTheme="minorHAnsi" w:hAnsiTheme="minorHAnsi" w:cstheme="minorHAnsi"/>
        </w:rPr>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pPr>
        <w:numPr>
          <w:ilvl w:val="0"/>
          <w:numId w:val="46"/>
        </w:numPr>
        <w:spacing w:after="0"/>
        <w:rPr>
          <w:rFonts w:asciiTheme="minorHAnsi" w:hAnsiTheme="minorHAnsi" w:cstheme="minorHAnsi"/>
        </w:rPr>
      </w:pPr>
      <w:hyperlink r:id="rId36">
        <w:r>
          <w:rPr>
            <w:rFonts w:asciiTheme="minorHAnsi" w:hAnsiTheme="minorHAnsi" w:cstheme="minorHAnsi"/>
            <w:color w:val="1155CC"/>
            <w:u w:val="single"/>
          </w:rPr>
          <w:t>The Public Sector Equality Duty (PSED)</w:t>
        </w:r>
      </w:hyperlink>
      <w:r>
        <w:rPr>
          <w:rFonts w:asciiTheme="minorHAnsi" w:hAnsiTheme="minorHAnsi" w:cstheme="minorHAnsi"/>
        </w:rPr>
        <w:t xml:space="preserve">, which explains that we must have due regard to eliminating unlawful discrimination, harassment and </w:t>
      </w:r>
      <w:proofErr w:type="spellStart"/>
      <w:r>
        <w:rPr>
          <w:rFonts w:asciiTheme="minorHAnsi" w:hAnsiTheme="minorHAnsi" w:cstheme="minorHAnsi"/>
        </w:rPr>
        <w:t>victimisation</w:t>
      </w:r>
      <w:proofErr w:type="spellEnd"/>
      <w:r>
        <w:rPr>
          <w:rFonts w:asciiTheme="minorHAnsi" w:hAnsiTheme="minorHAnsi" w:cstheme="minorHAnsi"/>
        </w:rPr>
        <w:t xml:space="preserve">. The PSED helps us to focus on key issues of concern and how to improve pupil outcomes. Some pupils may be more at risk of harm from issues such as sexual violence; homophobic, </w:t>
      </w:r>
      <w:proofErr w:type="spellStart"/>
      <w:r>
        <w:rPr>
          <w:rFonts w:asciiTheme="minorHAnsi" w:hAnsiTheme="minorHAnsi" w:cstheme="minorHAnsi"/>
        </w:rPr>
        <w:t>biphobic</w:t>
      </w:r>
      <w:proofErr w:type="spellEnd"/>
      <w:r>
        <w:rPr>
          <w:rFonts w:asciiTheme="minorHAnsi" w:hAnsiTheme="minorHAnsi" w:cstheme="minorHAnsi"/>
        </w:rPr>
        <w:t xml:space="preserve"> or transphobic bullying; or racial discrimination.</w:t>
      </w:r>
    </w:p>
    <w:p>
      <w:pPr>
        <w:numPr>
          <w:ilvl w:val="0"/>
          <w:numId w:val="46"/>
        </w:numPr>
        <w:spacing w:after="0"/>
        <w:rPr>
          <w:rFonts w:asciiTheme="minorHAnsi" w:hAnsiTheme="minorHAnsi" w:cstheme="minorHAnsi"/>
        </w:rPr>
      </w:pPr>
      <w:r>
        <w:rPr>
          <w:rFonts w:asciiTheme="minorHAnsi" w:hAnsiTheme="minorHAnsi" w:cstheme="minorHAnsi"/>
          <w:color w:val="0000FF"/>
          <w:u w:val="single"/>
        </w:rPr>
        <w:t>The</w:t>
      </w:r>
      <w:hyperlink r:id="rId37">
        <w:r>
          <w:rPr>
            <w:rFonts w:asciiTheme="minorHAnsi" w:hAnsiTheme="minorHAnsi" w:cstheme="minorHAnsi"/>
            <w:color w:val="0000FF"/>
            <w:u w:val="single"/>
          </w:rPr>
          <w:t xml:space="preserve"> </w:t>
        </w:r>
      </w:hyperlink>
      <w:hyperlink r:id="rId38">
        <w:r>
          <w:rPr>
            <w:rFonts w:asciiTheme="minorHAnsi" w:hAnsiTheme="minorHAnsi" w:cstheme="minorHAnsi"/>
            <w:color w:val="0000FF"/>
            <w:u w:val="single"/>
          </w:rPr>
          <w:t>Childcare (Disqualification) and Childcare (Early Years Provision Free of Charge) (Extended Entitlement) (Amendment) Regulations 2018</w:t>
        </w:r>
      </w:hyperlink>
      <w:r>
        <w:rPr>
          <w:rFonts w:asciiTheme="minorHAnsi" w:hAnsiTheme="minorHAnsi" w:cstheme="minorHAnsi"/>
          <w:color w:val="0000FF"/>
        </w:rPr>
        <w:t xml:space="preserve"> </w:t>
      </w:r>
      <w:r>
        <w:rPr>
          <w:rFonts w:asciiTheme="minorHAnsi" w:hAnsiTheme="minorHAnsi" w:cstheme="minorHAnsi"/>
        </w:rPr>
        <w:t>(referred to in this policy as the “2018 Childcare Disqualification Regulations”) and</w:t>
      </w:r>
      <w:hyperlink r:id="rId39">
        <w:r>
          <w:rPr>
            <w:rFonts w:asciiTheme="minorHAnsi" w:hAnsiTheme="minorHAnsi" w:cstheme="minorHAnsi"/>
            <w:color w:val="0000FF"/>
          </w:rPr>
          <w:t xml:space="preserve"> </w:t>
        </w:r>
      </w:hyperlink>
      <w:hyperlink r:id="rId40">
        <w:r>
          <w:rPr>
            <w:rFonts w:asciiTheme="minorHAnsi" w:hAnsiTheme="minorHAnsi" w:cstheme="minorHAnsi"/>
            <w:color w:val="0000FF"/>
            <w:u w:val="single"/>
          </w:rPr>
          <w:t>Childcare Act 2006</w:t>
        </w:r>
      </w:hyperlink>
      <w:r>
        <w:rPr>
          <w:rFonts w:asciiTheme="minorHAnsi" w:hAnsiTheme="minorHAnsi" w:cstheme="minorHAnsi"/>
          <w:color w:val="0000FF"/>
        </w:rPr>
        <w:t xml:space="preserve">, </w:t>
      </w:r>
      <w:r>
        <w:rPr>
          <w:rFonts w:asciiTheme="minorHAnsi" w:hAnsiTheme="minorHAnsi" w:cstheme="minorHAnsi"/>
        </w:rPr>
        <w:t>which set out who is disqualified from working with children.</w:t>
      </w:r>
    </w:p>
    <w:p>
      <w:pPr>
        <w:numPr>
          <w:ilvl w:val="0"/>
          <w:numId w:val="46"/>
        </w:numPr>
        <w:spacing w:after="240"/>
        <w:rPr>
          <w:rFonts w:asciiTheme="minorHAnsi" w:hAnsiTheme="minorHAnsi" w:cstheme="minorHAnsi"/>
        </w:rPr>
      </w:pPr>
      <w:r>
        <w:rPr>
          <w:rFonts w:asciiTheme="minorHAnsi" w:hAnsiTheme="minorHAnsi" w:cstheme="minorHAnsi"/>
        </w:rPr>
        <w:t>This policy also meets requirements relating to safeguarding and welfare in the</w:t>
      </w:r>
      <w:hyperlink r:id="rId41">
        <w:r>
          <w:rPr>
            <w:rFonts w:asciiTheme="minorHAnsi" w:hAnsiTheme="minorHAnsi" w:cstheme="minorHAnsi"/>
            <w:color w:val="0000FF"/>
          </w:rPr>
          <w:t xml:space="preserve"> </w:t>
        </w:r>
      </w:hyperlink>
      <w:hyperlink r:id="rId42">
        <w:r>
          <w:rPr>
            <w:rFonts w:asciiTheme="minorHAnsi" w:hAnsiTheme="minorHAnsi" w:cstheme="minorHAnsi"/>
            <w:color w:val="0000FF"/>
            <w:u w:val="single"/>
          </w:rPr>
          <w:t>statutory framework for the Early Years Foundation Stage</w:t>
        </w:r>
      </w:hyperlink>
      <w:r>
        <w:rPr>
          <w:rFonts w:asciiTheme="minorHAnsi" w:hAnsiTheme="minorHAnsi" w:cstheme="minorHAnsi"/>
          <w:color w:val="0000FF"/>
          <w:u w:val="single"/>
        </w:rPr>
        <w:t>.</w:t>
      </w:r>
    </w:p>
    <w:p>
      <w:pPr>
        <w:pStyle w:val="Heading2"/>
        <w:rPr>
          <w:sz w:val="28"/>
        </w:rPr>
      </w:pPr>
      <w:bookmarkStart w:id="12" w:name="_heading=h.rphz6u9qzcgs" w:colFirst="0" w:colLast="0"/>
      <w:bookmarkStart w:id="13" w:name="_heading=h.lohxybe2g7j6" w:colFirst="0" w:colLast="0"/>
      <w:bookmarkStart w:id="14" w:name="_Toc172030590"/>
      <w:bookmarkEnd w:id="12"/>
      <w:bookmarkEnd w:id="13"/>
      <w:r>
        <w:rPr>
          <w:sz w:val="28"/>
        </w:rPr>
        <w:t>6. Key Contacts</w:t>
      </w:r>
      <w:bookmarkEnd w:id="14"/>
    </w:p>
    <w:tbl>
      <w:tblPr>
        <w:tblStyle w:val="a"/>
        <w:tblW w:w="9633" w:type="dxa"/>
        <w:tblBorders>
          <w:top w:val="nil"/>
          <w:left w:val="nil"/>
          <w:bottom w:val="nil"/>
          <w:right w:val="nil"/>
          <w:insideH w:val="nil"/>
          <w:insideV w:val="nil"/>
        </w:tblBorders>
        <w:tblLayout w:type="fixed"/>
        <w:tblLook w:val="0600" w:firstRow="0" w:lastRow="0" w:firstColumn="0" w:lastColumn="0" w:noHBand="1" w:noVBand="1"/>
      </w:tblPr>
      <w:tblGrid>
        <w:gridCol w:w="9633"/>
      </w:tblGrid>
      <w:tr>
        <w:trPr>
          <w:trHeight w:val="473"/>
        </w:trPr>
        <w:tc>
          <w:tcPr>
            <w:tcW w:w="9633" w:type="dxa"/>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vAlign w:val="center"/>
          </w:tcPr>
          <w:p>
            <w:pPr>
              <w:spacing w:after="0" w:line="240" w:lineRule="auto"/>
              <w:rPr>
                <w:rFonts w:asciiTheme="minorHAnsi" w:hAnsiTheme="minorHAnsi" w:cstheme="minorHAnsi"/>
                <w:b/>
                <w:color w:val="00B050"/>
              </w:rPr>
            </w:pPr>
            <w:r>
              <w:rPr>
                <w:rFonts w:asciiTheme="minorHAnsi" w:hAnsiTheme="minorHAnsi" w:cstheme="minorHAnsi"/>
                <w:b/>
                <w:color w:val="00B050"/>
              </w:rPr>
              <w:t>School Contacts</w:t>
            </w:r>
          </w:p>
        </w:tc>
      </w:tr>
      <w:tr>
        <w:trPr>
          <w:trHeight w:val="2419"/>
        </w:trPr>
        <w:tc>
          <w:tcPr>
            <w:tcW w:w="9633"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pPr>
              <w:widowControl w:val="0"/>
              <w:spacing w:before="120" w:after="0" w:line="480" w:lineRule="auto"/>
              <w:rPr>
                <w:rFonts w:asciiTheme="minorHAnsi" w:hAnsiTheme="minorHAnsi" w:cstheme="minorHAnsi"/>
                <w:b/>
              </w:rPr>
            </w:pPr>
            <w:r>
              <w:rPr>
                <w:rFonts w:asciiTheme="minorHAnsi" w:hAnsiTheme="minorHAnsi" w:cstheme="minorHAnsi"/>
                <w:b/>
              </w:rPr>
              <w:t xml:space="preserve">Designated Safeguarding &amp; Prevent Lead: Rosie Walford </w:t>
            </w:r>
          </w:p>
          <w:p>
            <w:pPr>
              <w:widowControl w:val="0"/>
              <w:spacing w:after="0" w:line="480" w:lineRule="auto"/>
              <w:rPr>
                <w:rFonts w:asciiTheme="minorHAnsi" w:hAnsiTheme="minorHAnsi" w:cstheme="minorHAnsi"/>
                <w:b/>
              </w:rPr>
            </w:pPr>
            <w:r>
              <w:rPr>
                <w:rFonts w:asciiTheme="minorHAnsi" w:hAnsiTheme="minorHAnsi" w:cstheme="minorHAnsi"/>
                <w:b/>
              </w:rPr>
              <w:t xml:space="preserve">Deputy Designated Safeguarding Leads: Georgia Collins, Rachael Bond, Katherine </w:t>
            </w:r>
            <w:proofErr w:type="spellStart"/>
            <w:r>
              <w:rPr>
                <w:rFonts w:asciiTheme="minorHAnsi" w:hAnsiTheme="minorHAnsi" w:cstheme="minorHAnsi"/>
                <w:b/>
              </w:rPr>
              <w:t>Bignell</w:t>
            </w:r>
            <w:proofErr w:type="spellEnd"/>
            <w:r>
              <w:rPr>
                <w:rFonts w:asciiTheme="minorHAnsi" w:hAnsiTheme="minorHAnsi" w:cstheme="minorHAnsi"/>
                <w:b/>
              </w:rPr>
              <w:t xml:space="preserve"> </w:t>
            </w:r>
          </w:p>
          <w:p>
            <w:pPr>
              <w:widowControl w:val="0"/>
              <w:spacing w:after="0" w:line="480" w:lineRule="auto"/>
              <w:rPr>
                <w:rFonts w:asciiTheme="minorHAnsi" w:hAnsiTheme="minorHAnsi" w:cstheme="minorHAnsi"/>
                <w:b/>
              </w:rPr>
            </w:pPr>
            <w:r>
              <w:rPr>
                <w:rFonts w:asciiTheme="minorHAnsi" w:hAnsiTheme="minorHAnsi" w:cstheme="minorHAnsi"/>
                <w:b/>
              </w:rPr>
              <w:t>Designated Teacher for Children Looked After: Rachael Bond/ Georgia Collins</w:t>
            </w:r>
          </w:p>
          <w:p>
            <w:pPr>
              <w:widowControl w:val="0"/>
              <w:spacing w:after="0" w:line="480" w:lineRule="auto"/>
              <w:rPr>
                <w:rFonts w:asciiTheme="minorHAnsi" w:hAnsiTheme="minorHAnsi" w:cstheme="minorHAnsi"/>
                <w:b/>
              </w:rPr>
            </w:pPr>
            <w:r>
              <w:rPr>
                <w:rFonts w:asciiTheme="minorHAnsi" w:hAnsiTheme="minorHAnsi" w:cstheme="minorHAnsi"/>
                <w:b/>
              </w:rPr>
              <w:t xml:space="preserve">Prevent Lead: Rosie Walford </w:t>
            </w:r>
          </w:p>
          <w:p>
            <w:pPr>
              <w:widowControl w:val="0"/>
              <w:spacing w:after="0" w:line="480" w:lineRule="auto"/>
              <w:rPr>
                <w:rFonts w:asciiTheme="minorHAnsi" w:hAnsiTheme="minorHAnsi" w:cstheme="minorHAnsi"/>
                <w:b/>
              </w:rPr>
            </w:pPr>
            <w:r>
              <w:rPr>
                <w:rFonts w:asciiTheme="minorHAnsi" w:hAnsiTheme="minorHAnsi" w:cstheme="minorHAnsi"/>
                <w:b/>
              </w:rPr>
              <w:t xml:space="preserve">Nominated Governor for Safeguarding: </w:t>
            </w:r>
            <w:proofErr w:type="spellStart"/>
            <w:r>
              <w:rPr>
                <w:rFonts w:asciiTheme="minorHAnsi" w:hAnsiTheme="minorHAnsi" w:cstheme="minorHAnsi"/>
                <w:b/>
              </w:rPr>
              <w:t>I</w:t>
            </w:r>
            <w:r>
              <w:rPr>
                <w:rFonts w:ascii="Roboto" w:hAnsi="Roboto"/>
                <w:sz w:val="21"/>
                <w:szCs w:val="21"/>
                <w:shd w:val="clear" w:color="auto" w:fill="FFFFFF"/>
              </w:rPr>
              <w:t>raya</w:t>
            </w:r>
            <w:proofErr w:type="spellEnd"/>
            <w:r>
              <w:rPr>
                <w:rFonts w:ascii="Roboto" w:hAnsi="Roboto"/>
                <w:sz w:val="21"/>
                <w:szCs w:val="21"/>
                <w:shd w:val="clear" w:color="auto" w:fill="FFFFFF"/>
              </w:rPr>
              <w:t xml:space="preserve"> </w:t>
            </w:r>
            <w:proofErr w:type="spellStart"/>
            <w:r>
              <w:rPr>
                <w:rFonts w:ascii="Roboto" w:hAnsi="Roboto"/>
                <w:sz w:val="21"/>
                <w:szCs w:val="21"/>
                <w:shd w:val="clear" w:color="auto" w:fill="FFFFFF"/>
              </w:rPr>
              <w:t>Mommer</w:t>
            </w:r>
            <w:proofErr w:type="spellEnd"/>
            <w:r>
              <w:rPr>
                <w:rFonts w:ascii="Roboto" w:hAnsi="Roboto"/>
                <w:sz w:val="21"/>
                <w:szCs w:val="21"/>
                <w:shd w:val="clear" w:color="auto" w:fill="FFFFFF"/>
              </w:rPr>
              <w:t>-Quiroz</w:t>
            </w:r>
          </w:p>
          <w:p>
            <w:pPr>
              <w:widowControl w:val="0"/>
              <w:spacing w:after="0" w:line="480" w:lineRule="auto"/>
              <w:rPr>
                <w:rFonts w:asciiTheme="minorHAnsi" w:hAnsiTheme="minorHAnsi" w:cstheme="minorHAnsi"/>
                <w:b/>
              </w:rPr>
            </w:pPr>
            <w:r>
              <w:rPr>
                <w:rFonts w:asciiTheme="minorHAnsi" w:hAnsiTheme="minorHAnsi" w:cstheme="minorHAnsi"/>
                <w:b/>
              </w:rPr>
              <w:t>Chair of Governors: Alan Hunt</w:t>
            </w:r>
          </w:p>
          <w:p>
            <w:pPr>
              <w:widowControl w:val="0"/>
              <w:spacing w:after="0" w:line="480" w:lineRule="auto"/>
              <w:rPr>
                <w:rFonts w:asciiTheme="minorHAnsi" w:hAnsiTheme="minorHAnsi" w:cstheme="minorHAnsi"/>
                <w:b/>
              </w:rPr>
            </w:pPr>
            <w:r>
              <w:rPr>
                <w:rFonts w:asciiTheme="minorHAnsi" w:hAnsiTheme="minorHAnsi" w:cstheme="minorHAnsi"/>
                <w:b/>
              </w:rPr>
              <w:t xml:space="preserve">Vice-Chair of Governors: </w:t>
            </w:r>
            <w:proofErr w:type="spellStart"/>
            <w:r>
              <w:rPr>
                <w:rFonts w:asciiTheme="minorHAnsi" w:hAnsiTheme="minorHAnsi" w:cstheme="minorHAnsi"/>
                <w:b/>
              </w:rPr>
              <w:t>I</w:t>
            </w:r>
            <w:r>
              <w:rPr>
                <w:rFonts w:ascii="Roboto" w:hAnsi="Roboto"/>
                <w:sz w:val="21"/>
                <w:szCs w:val="21"/>
                <w:shd w:val="clear" w:color="auto" w:fill="FFFFFF"/>
              </w:rPr>
              <w:t>raya</w:t>
            </w:r>
            <w:proofErr w:type="spellEnd"/>
            <w:r>
              <w:rPr>
                <w:rFonts w:ascii="Roboto" w:hAnsi="Roboto"/>
                <w:sz w:val="21"/>
                <w:szCs w:val="21"/>
                <w:shd w:val="clear" w:color="auto" w:fill="FFFFFF"/>
              </w:rPr>
              <w:t xml:space="preserve"> </w:t>
            </w:r>
            <w:proofErr w:type="spellStart"/>
            <w:r>
              <w:rPr>
                <w:rFonts w:ascii="Roboto" w:hAnsi="Roboto"/>
                <w:sz w:val="21"/>
                <w:szCs w:val="21"/>
                <w:shd w:val="clear" w:color="auto" w:fill="FFFFFF"/>
              </w:rPr>
              <w:t>Mommer</w:t>
            </w:r>
            <w:proofErr w:type="spellEnd"/>
            <w:r>
              <w:rPr>
                <w:rFonts w:ascii="Roboto" w:hAnsi="Roboto"/>
                <w:sz w:val="21"/>
                <w:szCs w:val="21"/>
                <w:shd w:val="clear" w:color="auto" w:fill="FFFFFF"/>
              </w:rPr>
              <w:t>-Quiroz</w:t>
            </w:r>
          </w:p>
          <w:p>
            <w:pPr>
              <w:widowControl w:val="0"/>
              <w:spacing w:after="0" w:line="480" w:lineRule="auto"/>
              <w:rPr>
                <w:rFonts w:asciiTheme="minorHAnsi" w:hAnsiTheme="minorHAnsi" w:cstheme="minorHAnsi"/>
                <w:color w:val="00B050"/>
              </w:rPr>
            </w:pPr>
            <w:r>
              <w:rPr>
                <w:rFonts w:asciiTheme="minorHAnsi" w:hAnsiTheme="minorHAnsi" w:cstheme="minorHAnsi"/>
                <w:b/>
              </w:rPr>
              <w:t xml:space="preserve">Governor nominated to manage allegations against the Headteacher is:  </w:t>
            </w:r>
            <w:r>
              <w:rPr>
                <w:rFonts w:asciiTheme="minorHAnsi" w:hAnsiTheme="minorHAnsi" w:cstheme="minorHAnsi"/>
              </w:rPr>
              <w:t xml:space="preserve"> </w:t>
            </w:r>
            <w:r>
              <w:rPr>
                <w:rFonts w:asciiTheme="minorHAnsi" w:hAnsiTheme="minorHAnsi" w:cstheme="minorHAnsi"/>
                <w:b/>
              </w:rPr>
              <w:t>Alan Hunt</w:t>
            </w:r>
          </w:p>
        </w:tc>
      </w:tr>
    </w:tbl>
    <w:p>
      <w:pPr>
        <w:pStyle w:val="Heading2"/>
        <w:rPr>
          <w:sz w:val="28"/>
        </w:rPr>
      </w:pPr>
      <w:bookmarkStart w:id="15" w:name="_heading=h.x2nazqftkluq" w:colFirst="0" w:colLast="0"/>
      <w:bookmarkStart w:id="16" w:name="_Toc172030591"/>
      <w:bookmarkEnd w:id="15"/>
      <w:r>
        <w:rPr>
          <w:sz w:val="28"/>
        </w:rPr>
        <w:t>7. Terminology</w:t>
      </w:r>
      <w:bookmarkEnd w:id="16"/>
    </w:p>
    <w:p>
      <w:pPr>
        <w:widowControl w:val="0"/>
        <w:spacing w:after="0" w:line="240" w:lineRule="auto"/>
        <w:ind w:right="120"/>
        <w:rPr>
          <w:rFonts w:asciiTheme="minorHAnsi" w:hAnsiTheme="minorHAnsi" w:cstheme="minorHAnsi"/>
        </w:rPr>
      </w:pPr>
      <w:r>
        <w:rPr>
          <w:rFonts w:asciiTheme="minorHAnsi" w:hAnsiTheme="minorHAnsi" w:cstheme="minorHAnsi"/>
          <w:b/>
        </w:rPr>
        <w:t>Safeguarding and promoting the welfare of children</w:t>
      </w:r>
      <w:r>
        <w:rPr>
          <w:rFonts w:asciiTheme="minorHAnsi" w:hAnsiTheme="minorHAnsi" w:cstheme="minorHAnsi"/>
        </w:rPr>
        <w:t xml:space="preserve"> refers to the process of protecting children from maltreatment, preventing the impairment of health or development, ensuring that children grow up in circumstances consistent with the provision of safe and effective care and taking action to enable all children to have the best outcomes.</w:t>
      </w:r>
    </w:p>
    <w:p>
      <w:pPr>
        <w:widowControl w:val="0"/>
        <w:spacing w:after="0" w:line="240" w:lineRule="auto"/>
        <w:ind w:right="120"/>
        <w:rPr>
          <w:rFonts w:asciiTheme="minorHAnsi" w:hAnsiTheme="minorHAnsi" w:cstheme="minorHAnsi"/>
        </w:rPr>
      </w:pPr>
    </w:p>
    <w:p>
      <w:pPr>
        <w:widowControl w:val="0"/>
        <w:spacing w:after="0" w:line="240" w:lineRule="auto"/>
        <w:ind w:right="360"/>
        <w:rPr>
          <w:rFonts w:asciiTheme="minorHAnsi" w:hAnsiTheme="minorHAnsi" w:cstheme="minorHAnsi"/>
        </w:rPr>
      </w:pPr>
      <w:r>
        <w:rPr>
          <w:rFonts w:asciiTheme="minorHAnsi" w:hAnsiTheme="minorHAnsi" w:cstheme="minorHAnsi"/>
          <w:b/>
        </w:rPr>
        <w:t>Child protection</w:t>
      </w:r>
      <w:r>
        <w:rPr>
          <w:rFonts w:asciiTheme="minorHAnsi" w:hAnsiTheme="minorHAnsi" w:cstheme="minorHAnsi"/>
        </w:rPr>
        <w:t xml:space="preserve"> refers to the processes undertaken to protect children who have been identified as suffering, or being at risk of suffering significant harm.</w:t>
      </w:r>
    </w:p>
    <w:p>
      <w:pPr>
        <w:widowControl w:val="0"/>
        <w:spacing w:after="0" w:line="240" w:lineRule="auto"/>
        <w:rPr>
          <w:rFonts w:asciiTheme="minorHAnsi" w:hAnsiTheme="minorHAnsi" w:cstheme="minorHAnsi"/>
          <w:b/>
        </w:rPr>
      </w:pPr>
    </w:p>
    <w:p>
      <w:pPr>
        <w:widowControl w:val="0"/>
        <w:spacing w:after="0" w:line="240" w:lineRule="auto"/>
        <w:rPr>
          <w:rFonts w:asciiTheme="minorHAnsi" w:hAnsiTheme="minorHAnsi" w:cstheme="minorHAnsi"/>
        </w:rPr>
      </w:pPr>
      <w:r>
        <w:rPr>
          <w:rFonts w:asciiTheme="minorHAnsi" w:hAnsiTheme="minorHAnsi" w:cstheme="minorHAnsi"/>
          <w:b/>
        </w:rPr>
        <w:t>Staff</w:t>
      </w:r>
      <w:r>
        <w:rPr>
          <w:rFonts w:asciiTheme="minorHAnsi" w:hAnsiTheme="minorHAnsi" w:cstheme="minorHAnsi"/>
        </w:rPr>
        <w:t xml:space="preserve"> refers to all those working for or on behalf of the school, full time or part time, temporary or permanent, in either a paid or voluntary capacity.</w:t>
      </w:r>
    </w:p>
    <w:p>
      <w:pPr>
        <w:widowControl w:val="0"/>
        <w:spacing w:after="0" w:line="240" w:lineRule="auto"/>
        <w:rPr>
          <w:rFonts w:asciiTheme="minorHAnsi" w:hAnsiTheme="minorHAnsi" w:cstheme="minorHAnsi"/>
          <w:b/>
        </w:rPr>
      </w:pPr>
    </w:p>
    <w:p>
      <w:pPr>
        <w:widowControl w:val="0"/>
        <w:spacing w:after="0" w:line="240" w:lineRule="auto"/>
        <w:rPr>
          <w:rFonts w:asciiTheme="minorHAnsi" w:hAnsiTheme="minorHAnsi" w:cstheme="minorHAnsi"/>
        </w:rPr>
      </w:pPr>
      <w:r>
        <w:rPr>
          <w:rFonts w:asciiTheme="minorHAnsi" w:hAnsiTheme="minorHAnsi" w:cstheme="minorHAnsi"/>
          <w:b/>
        </w:rPr>
        <w:lastRenderedPageBreak/>
        <w:t>Child</w:t>
      </w:r>
      <w:r>
        <w:rPr>
          <w:rFonts w:asciiTheme="minorHAnsi" w:hAnsiTheme="minorHAnsi" w:cstheme="minorHAnsi"/>
        </w:rPr>
        <w:t xml:space="preserve"> includes everyone under the age of 18.</w:t>
      </w:r>
    </w:p>
    <w:p>
      <w:pPr>
        <w:widowControl w:val="0"/>
        <w:spacing w:after="0" w:line="240" w:lineRule="auto"/>
        <w:rPr>
          <w:rFonts w:asciiTheme="minorHAnsi" w:hAnsiTheme="minorHAnsi" w:cstheme="minorHAnsi"/>
          <w:b/>
        </w:rPr>
      </w:pPr>
    </w:p>
    <w:p>
      <w:pPr>
        <w:widowControl w:val="0"/>
        <w:spacing w:after="0" w:line="240" w:lineRule="auto"/>
        <w:rPr>
          <w:rFonts w:asciiTheme="minorHAnsi" w:hAnsiTheme="minorHAnsi" w:cstheme="minorHAnsi"/>
        </w:rPr>
      </w:pPr>
      <w:r>
        <w:rPr>
          <w:rFonts w:asciiTheme="minorHAnsi" w:hAnsiTheme="minorHAnsi" w:cstheme="minorHAnsi"/>
          <w:b/>
        </w:rPr>
        <w:t>Parent</w:t>
      </w:r>
      <w:r>
        <w:rPr>
          <w:rFonts w:asciiTheme="minorHAnsi" w:hAnsiTheme="minorHAnsi" w:cstheme="minorHAnsi"/>
        </w:rPr>
        <w:t xml:space="preserve"> refers to birth parents and other adults who are in a parenting role, for example step-parents, foster </w:t>
      </w:r>
      <w:proofErr w:type="spellStart"/>
      <w:r>
        <w:rPr>
          <w:rFonts w:asciiTheme="minorHAnsi" w:hAnsiTheme="minorHAnsi" w:cstheme="minorHAnsi"/>
        </w:rPr>
        <w:t>carers</w:t>
      </w:r>
      <w:proofErr w:type="spellEnd"/>
      <w:r>
        <w:rPr>
          <w:rFonts w:asciiTheme="minorHAnsi" w:hAnsiTheme="minorHAnsi" w:cstheme="minorHAnsi"/>
        </w:rPr>
        <w:t xml:space="preserve"> and adoptive parents.</w:t>
      </w:r>
    </w:p>
    <w:p>
      <w:pPr>
        <w:widowControl w:val="0"/>
        <w:spacing w:after="0" w:line="240" w:lineRule="auto"/>
        <w:rPr>
          <w:rFonts w:asciiTheme="minorHAnsi" w:hAnsiTheme="minorHAnsi" w:cstheme="minorHAnsi"/>
        </w:rPr>
      </w:pPr>
    </w:p>
    <w:p>
      <w:pPr>
        <w:rPr>
          <w:rFonts w:asciiTheme="minorHAnsi" w:hAnsiTheme="minorHAnsi" w:cstheme="minorHAnsi"/>
        </w:rPr>
      </w:pPr>
      <w:r>
        <w:rPr>
          <w:rFonts w:asciiTheme="minorHAnsi" w:hAnsiTheme="minorHAnsi" w:cstheme="minorHAnsi"/>
        </w:rPr>
        <w:t xml:space="preserve">The following </w:t>
      </w:r>
      <w:r>
        <w:rPr>
          <w:rFonts w:asciiTheme="minorHAnsi" w:hAnsiTheme="minorHAnsi" w:cstheme="minorHAnsi"/>
          <w:b/>
        </w:rPr>
        <w:t xml:space="preserve">3 Safeguarding Partners </w:t>
      </w:r>
      <w:r>
        <w:rPr>
          <w:rFonts w:asciiTheme="minorHAnsi" w:hAnsiTheme="minorHAnsi" w:cstheme="minorHAnsi"/>
        </w:rPr>
        <w:t xml:space="preserve">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pPr>
        <w:numPr>
          <w:ilvl w:val="0"/>
          <w:numId w:val="2"/>
        </w:numPr>
        <w:spacing w:after="0"/>
        <w:rPr>
          <w:rFonts w:asciiTheme="minorHAnsi" w:hAnsiTheme="minorHAnsi" w:cstheme="minorHAnsi"/>
        </w:rPr>
      </w:pPr>
      <w:r>
        <w:rPr>
          <w:rFonts w:asciiTheme="minorHAnsi" w:hAnsiTheme="minorHAnsi" w:cstheme="minorHAnsi"/>
        </w:rPr>
        <w:t>The local authority (LA)</w:t>
      </w:r>
    </w:p>
    <w:p>
      <w:pPr>
        <w:numPr>
          <w:ilvl w:val="0"/>
          <w:numId w:val="2"/>
        </w:numPr>
        <w:spacing w:after="0"/>
        <w:rPr>
          <w:rFonts w:asciiTheme="minorHAnsi" w:hAnsiTheme="minorHAnsi" w:cstheme="minorHAnsi"/>
        </w:rPr>
      </w:pPr>
      <w:r>
        <w:rPr>
          <w:rFonts w:asciiTheme="minorHAnsi" w:hAnsiTheme="minorHAnsi" w:cstheme="minorHAnsi"/>
        </w:rPr>
        <w:t>Integrated care boards (previously known as clinical commissioning groups) for an area within the LA</w:t>
      </w:r>
    </w:p>
    <w:p>
      <w:pPr>
        <w:numPr>
          <w:ilvl w:val="0"/>
          <w:numId w:val="2"/>
        </w:numPr>
        <w:rPr>
          <w:rFonts w:asciiTheme="minorHAnsi" w:hAnsiTheme="minorHAnsi" w:cstheme="minorHAnsi"/>
        </w:rPr>
      </w:pPr>
      <w:r>
        <w:rPr>
          <w:rFonts w:asciiTheme="minorHAnsi" w:hAnsiTheme="minorHAnsi" w:cstheme="minorHAnsi"/>
        </w:rPr>
        <w:t>The chief officer of police for a police area in the LA area</w:t>
      </w:r>
    </w:p>
    <w:p>
      <w:pPr>
        <w:pStyle w:val="Heading3"/>
        <w:rPr>
          <w:sz w:val="24"/>
        </w:rPr>
      </w:pPr>
      <w:bookmarkStart w:id="17" w:name="_Toc172030592"/>
      <w:r>
        <w:rPr>
          <w:sz w:val="24"/>
        </w:rPr>
        <w:t>Acronyms</w:t>
      </w:r>
      <w:bookmarkEnd w:id="17"/>
    </w:p>
    <w:p>
      <w:pPr>
        <w:widowControl w:val="0"/>
        <w:spacing w:after="0" w:line="360" w:lineRule="auto"/>
        <w:rPr>
          <w:rFonts w:asciiTheme="minorHAnsi" w:hAnsiTheme="minorHAnsi" w:cstheme="minorHAnsi"/>
        </w:rPr>
      </w:pPr>
      <w:r>
        <w:rPr>
          <w:rFonts w:asciiTheme="minorHAnsi" w:hAnsiTheme="minorHAnsi" w:cstheme="minorHAnsi"/>
          <w:b/>
        </w:rPr>
        <w:t xml:space="preserve">SSCP: </w:t>
      </w:r>
      <w:r>
        <w:rPr>
          <w:rFonts w:asciiTheme="minorHAnsi" w:hAnsiTheme="minorHAnsi" w:cstheme="minorHAnsi"/>
        </w:rPr>
        <w:t>Southampton Safeguarding Children Partnership.</w:t>
      </w:r>
    </w:p>
    <w:p>
      <w:pPr>
        <w:widowControl w:val="0"/>
        <w:spacing w:after="0" w:line="360" w:lineRule="auto"/>
        <w:rPr>
          <w:rFonts w:asciiTheme="minorHAnsi" w:hAnsiTheme="minorHAnsi" w:cstheme="minorHAnsi"/>
        </w:rPr>
      </w:pPr>
      <w:r>
        <w:rPr>
          <w:rFonts w:asciiTheme="minorHAnsi" w:hAnsiTheme="minorHAnsi" w:cstheme="minorHAnsi"/>
          <w:b/>
        </w:rPr>
        <w:t>DSL:</w:t>
      </w:r>
      <w:r>
        <w:rPr>
          <w:rFonts w:asciiTheme="minorHAnsi" w:hAnsiTheme="minorHAnsi" w:cstheme="minorHAnsi"/>
        </w:rPr>
        <w:t xml:space="preserve"> Designated Safeguarding Lead</w:t>
      </w:r>
    </w:p>
    <w:p>
      <w:pPr>
        <w:widowControl w:val="0"/>
        <w:spacing w:after="0" w:line="360" w:lineRule="auto"/>
        <w:rPr>
          <w:rFonts w:asciiTheme="minorHAnsi" w:hAnsiTheme="minorHAnsi" w:cstheme="minorHAnsi"/>
        </w:rPr>
      </w:pPr>
      <w:r>
        <w:rPr>
          <w:rFonts w:asciiTheme="minorHAnsi" w:hAnsiTheme="minorHAnsi" w:cstheme="minorHAnsi"/>
          <w:b/>
        </w:rPr>
        <w:t xml:space="preserve">DDSL: </w:t>
      </w:r>
      <w:r>
        <w:rPr>
          <w:rFonts w:asciiTheme="minorHAnsi" w:hAnsiTheme="minorHAnsi" w:cstheme="minorHAnsi"/>
        </w:rPr>
        <w:t>Deputy Designated Safeguarding Lead</w:t>
      </w:r>
    </w:p>
    <w:p>
      <w:pPr>
        <w:widowControl w:val="0"/>
        <w:spacing w:after="0" w:line="360" w:lineRule="auto"/>
        <w:rPr>
          <w:rFonts w:asciiTheme="minorHAnsi" w:hAnsiTheme="minorHAnsi" w:cstheme="minorHAnsi"/>
        </w:rPr>
      </w:pPr>
      <w:r>
        <w:rPr>
          <w:rFonts w:asciiTheme="minorHAnsi" w:hAnsiTheme="minorHAnsi" w:cstheme="minorHAnsi"/>
          <w:b/>
        </w:rPr>
        <w:t xml:space="preserve">CRS: </w:t>
      </w:r>
      <w:r>
        <w:rPr>
          <w:rFonts w:asciiTheme="minorHAnsi" w:hAnsiTheme="minorHAnsi" w:cstheme="minorHAnsi"/>
        </w:rPr>
        <w:t>Children’s Resource Service</w:t>
      </w:r>
    </w:p>
    <w:p>
      <w:pPr>
        <w:widowControl w:val="0"/>
        <w:spacing w:after="0" w:line="360" w:lineRule="auto"/>
        <w:rPr>
          <w:rFonts w:asciiTheme="minorHAnsi" w:hAnsiTheme="minorHAnsi" w:cstheme="minorHAnsi"/>
        </w:rPr>
      </w:pPr>
      <w:r>
        <w:rPr>
          <w:rFonts w:asciiTheme="minorHAnsi" w:hAnsiTheme="minorHAnsi" w:cstheme="minorHAnsi"/>
          <w:b/>
        </w:rPr>
        <w:t xml:space="preserve">PSHE: </w:t>
      </w:r>
      <w:r>
        <w:rPr>
          <w:rFonts w:asciiTheme="minorHAnsi" w:hAnsiTheme="minorHAnsi" w:cstheme="minorHAnsi"/>
        </w:rPr>
        <w:t>Personal, Social &amp; Health Education</w:t>
      </w:r>
    </w:p>
    <w:p>
      <w:pPr>
        <w:widowControl w:val="0"/>
        <w:spacing w:after="0" w:line="360" w:lineRule="auto"/>
        <w:rPr>
          <w:rFonts w:asciiTheme="minorHAnsi" w:hAnsiTheme="minorHAnsi" w:cstheme="minorHAnsi"/>
        </w:rPr>
      </w:pPr>
      <w:r>
        <w:rPr>
          <w:rFonts w:asciiTheme="minorHAnsi" w:hAnsiTheme="minorHAnsi" w:cstheme="minorHAnsi"/>
          <w:b/>
        </w:rPr>
        <w:t>SRE:</w:t>
      </w:r>
      <w:r>
        <w:rPr>
          <w:rFonts w:asciiTheme="minorHAnsi" w:hAnsiTheme="minorHAnsi" w:cstheme="minorHAnsi"/>
        </w:rPr>
        <w:t xml:space="preserve"> Sex &amp; Relationships Education</w:t>
      </w:r>
    </w:p>
    <w:p>
      <w:pPr>
        <w:widowControl w:val="0"/>
        <w:spacing w:after="0" w:line="360" w:lineRule="auto"/>
        <w:rPr>
          <w:rFonts w:asciiTheme="minorHAnsi" w:hAnsiTheme="minorHAnsi" w:cstheme="minorHAnsi"/>
        </w:rPr>
      </w:pPr>
      <w:r>
        <w:rPr>
          <w:rFonts w:asciiTheme="minorHAnsi" w:hAnsiTheme="minorHAnsi" w:cstheme="minorHAnsi"/>
          <w:b/>
        </w:rPr>
        <w:t>DBS:</w:t>
      </w:r>
      <w:r>
        <w:rPr>
          <w:rFonts w:asciiTheme="minorHAnsi" w:hAnsiTheme="minorHAnsi" w:cstheme="minorHAnsi"/>
        </w:rPr>
        <w:t xml:space="preserve"> Disclosure and Barring Service</w:t>
      </w:r>
    </w:p>
    <w:p>
      <w:pPr>
        <w:widowControl w:val="0"/>
        <w:spacing w:after="0" w:line="360" w:lineRule="auto"/>
        <w:rPr>
          <w:rFonts w:asciiTheme="minorHAnsi" w:hAnsiTheme="minorHAnsi" w:cstheme="minorHAnsi"/>
        </w:rPr>
      </w:pPr>
      <w:r>
        <w:rPr>
          <w:rFonts w:asciiTheme="minorHAnsi" w:hAnsiTheme="minorHAnsi" w:cstheme="minorHAnsi"/>
          <w:b/>
        </w:rPr>
        <w:t xml:space="preserve">FGM: </w:t>
      </w:r>
      <w:r>
        <w:rPr>
          <w:rFonts w:asciiTheme="minorHAnsi" w:hAnsiTheme="minorHAnsi" w:cstheme="minorHAnsi"/>
        </w:rPr>
        <w:t>Female Genital Mutilation</w:t>
      </w:r>
    </w:p>
    <w:p>
      <w:pPr>
        <w:widowControl w:val="0"/>
        <w:spacing w:after="0" w:line="360" w:lineRule="auto"/>
        <w:rPr>
          <w:rFonts w:asciiTheme="minorHAnsi" w:hAnsiTheme="minorHAnsi" w:cstheme="minorHAnsi"/>
        </w:rPr>
      </w:pPr>
      <w:r>
        <w:rPr>
          <w:rFonts w:asciiTheme="minorHAnsi" w:hAnsiTheme="minorHAnsi" w:cstheme="minorHAnsi"/>
          <w:b/>
        </w:rPr>
        <w:t xml:space="preserve">NSPCC: </w:t>
      </w:r>
      <w:r>
        <w:rPr>
          <w:rFonts w:asciiTheme="minorHAnsi" w:hAnsiTheme="minorHAnsi" w:cstheme="minorHAnsi"/>
        </w:rPr>
        <w:t xml:space="preserve">National Society for the Prevention of Cruelty to Children  </w:t>
      </w:r>
    </w:p>
    <w:p>
      <w:pPr>
        <w:widowControl w:val="0"/>
        <w:spacing w:after="0" w:line="360" w:lineRule="auto"/>
        <w:rPr>
          <w:rFonts w:asciiTheme="minorHAnsi" w:hAnsiTheme="minorHAnsi" w:cstheme="minorHAnsi"/>
        </w:rPr>
      </w:pPr>
      <w:r>
        <w:rPr>
          <w:rFonts w:asciiTheme="minorHAnsi" w:hAnsiTheme="minorHAnsi" w:cstheme="minorHAnsi"/>
          <w:b/>
        </w:rPr>
        <w:t>CCE:</w:t>
      </w:r>
      <w:r>
        <w:rPr>
          <w:rFonts w:asciiTheme="minorHAnsi" w:hAnsiTheme="minorHAnsi" w:cstheme="minorHAnsi"/>
        </w:rPr>
        <w:t xml:space="preserve"> Child criminal exploitation</w:t>
      </w:r>
    </w:p>
    <w:p>
      <w:pPr>
        <w:widowControl w:val="0"/>
        <w:spacing w:after="0" w:line="360" w:lineRule="auto"/>
        <w:rPr>
          <w:rFonts w:asciiTheme="minorHAnsi" w:hAnsiTheme="minorHAnsi" w:cstheme="minorHAnsi"/>
        </w:rPr>
      </w:pPr>
      <w:r>
        <w:rPr>
          <w:rFonts w:asciiTheme="minorHAnsi" w:hAnsiTheme="minorHAnsi" w:cstheme="minorHAnsi"/>
          <w:b/>
        </w:rPr>
        <w:t xml:space="preserve">CSE: </w:t>
      </w:r>
      <w:r>
        <w:rPr>
          <w:rFonts w:asciiTheme="minorHAnsi" w:hAnsiTheme="minorHAnsi" w:cstheme="minorHAnsi"/>
        </w:rPr>
        <w:t>Child Sexual Exploitation</w:t>
      </w:r>
    </w:p>
    <w:p>
      <w:pPr>
        <w:widowControl w:val="0"/>
        <w:spacing w:after="0" w:line="360" w:lineRule="auto"/>
        <w:rPr>
          <w:rFonts w:asciiTheme="minorHAnsi" w:hAnsiTheme="minorHAnsi" w:cstheme="minorHAnsi"/>
        </w:rPr>
      </w:pPr>
      <w:r>
        <w:rPr>
          <w:rFonts w:asciiTheme="minorHAnsi" w:hAnsiTheme="minorHAnsi" w:cstheme="minorHAnsi"/>
          <w:b/>
        </w:rPr>
        <w:t xml:space="preserve">SMCS: </w:t>
      </w:r>
      <w:r>
        <w:rPr>
          <w:rFonts w:asciiTheme="minorHAnsi" w:hAnsiTheme="minorHAnsi" w:cstheme="minorHAnsi"/>
        </w:rPr>
        <w:t>Spiritual, moral, social and cultural education</w:t>
      </w:r>
    </w:p>
    <w:p>
      <w:pPr>
        <w:widowControl w:val="0"/>
        <w:spacing w:after="0" w:line="360" w:lineRule="auto"/>
        <w:rPr>
          <w:rFonts w:asciiTheme="minorHAnsi" w:hAnsiTheme="minorHAnsi" w:cstheme="minorHAnsi"/>
        </w:rPr>
      </w:pPr>
      <w:r>
        <w:rPr>
          <w:rFonts w:asciiTheme="minorHAnsi" w:hAnsiTheme="minorHAnsi" w:cstheme="minorHAnsi"/>
          <w:b/>
        </w:rPr>
        <w:t>DFE:</w:t>
      </w:r>
      <w:r>
        <w:rPr>
          <w:rFonts w:asciiTheme="minorHAnsi" w:hAnsiTheme="minorHAnsi" w:cstheme="minorHAnsi"/>
        </w:rPr>
        <w:t xml:space="preserve"> Department for Education</w:t>
      </w:r>
    </w:p>
    <w:p>
      <w:pPr>
        <w:spacing w:after="0" w:line="240" w:lineRule="auto"/>
        <w:rPr>
          <w:rFonts w:asciiTheme="minorHAnsi" w:hAnsiTheme="minorHAnsi" w:cstheme="minorHAnsi"/>
          <w:highlight w:val="yellow"/>
        </w:rPr>
      </w:pPr>
    </w:p>
    <w:p>
      <w:pPr>
        <w:pStyle w:val="Heading2"/>
        <w:rPr>
          <w:sz w:val="28"/>
        </w:rPr>
      </w:pPr>
      <w:bookmarkStart w:id="18" w:name="_heading=h.cd2luqqx1bli" w:colFirst="0" w:colLast="0"/>
      <w:bookmarkStart w:id="19" w:name="_Toc172030593"/>
      <w:bookmarkEnd w:id="18"/>
      <w:r>
        <w:rPr>
          <w:sz w:val="28"/>
        </w:rPr>
        <w:t>8. Role and Responsibilities</w:t>
      </w:r>
      <w:bookmarkEnd w:id="19"/>
      <w:r>
        <w:rPr>
          <w:sz w:val="28"/>
        </w:rPr>
        <w:t xml:space="preserve"> </w:t>
      </w:r>
    </w:p>
    <w:p>
      <w:pPr>
        <w:pStyle w:val="Heading3"/>
      </w:pPr>
      <w:bookmarkStart w:id="20" w:name="_heading=h.ylnnu3l8iedg" w:colFirst="0" w:colLast="0"/>
      <w:bookmarkStart w:id="21" w:name="_Toc172030594"/>
      <w:bookmarkEnd w:id="20"/>
      <w:r>
        <w:t>8.1 All Staff</w:t>
      </w:r>
      <w:bookmarkEnd w:id="21"/>
      <w:r>
        <w:t xml:space="preserve"> </w:t>
      </w:r>
    </w:p>
    <w:p>
      <w:pPr>
        <w:spacing w:before="240" w:after="0"/>
        <w:rPr>
          <w:rFonts w:asciiTheme="minorHAnsi" w:hAnsiTheme="minorHAnsi" w:cstheme="minorHAnsi"/>
        </w:rPr>
      </w:pPr>
      <w:r>
        <w:rPr>
          <w:rFonts w:asciiTheme="minorHAnsi" w:hAnsiTheme="minorHAnsi" w:cstheme="minorHAnsi"/>
        </w:rPr>
        <w:t xml:space="preserve">We </w:t>
      </w:r>
      <w:proofErr w:type="spellStart"/>
      <w:r>
        <w:rPr>
          <w:rFonts w:asciiTheme="minorHAnsi" w:hAnsiTheme="minorHAnsi" w:cstheme="minorHAnsi"/>
        </w:rPr>
        <w:t>recognise</w:t>
      </w:r>
      <w:proofErr w:type="spellEnd"/>
      <w:r>
        <w:rPr>
          <w:rFonts w:asciiTheme="minorHAnsi" w:hAnsiTheme="minorHAnsi" w:cstheme="minorHAnsi"/>
        </w:rPr>
        <w:t xml:space="preserve"> that everyone who comes into contact with children and their families has a role to play in safeguarding children. The School’s staff and Governors have a full and active part to play in protecting our pupils from harm, and that the child’s welfare is our paramount concern. </w:t>
      </w:r>
    </w:p>
    <w:p>
      <w:pPr>
        <w:spacing w:before="240" w:after="0"/>
        <w:rPr>
          <w:rFonts w:asciiTheme="minorHAnsi" w:hAnsiTheme="minorHAnsi" w:cstheme="minorHAnsi"/>
          <w:b/>
          <w:sz w:val="24"/>
        </w:rPr>
      </w:pPr>
      <w:r>
        <w:rPr>
          <w:rFonts w:asciiTheme="minorHAnsi" w:hAnsiTheme="minorHAnsi" w:cstheme="minorHAnsi"/>
          <w:b/>
          <w:sz w:val="24"/>
          <w:u w:val="single"/>
        </w:rPr>
        <w:t>Aware</w:t>
      </w:r>
      <w:r>
        <w:rPr>
          <w:rFonts w:asciiTheme="minorHAnsi" w:hAnsiTheme="minorHAnsi" w:cstheme="minorHAnsi"/>
          <w:b/>
          <w:sz w:val="24"/>
        </w:rPr>
        <w:t xml:space="preserve"> - All staff MUST:</w:t>
      </w:r>
    </w:p>
    <w:p>
      <w:pPr>
        <w:numPr>
          <w:ilvl w:val="0"/>
          <w:numId w:val="28"/>
        </w:numPr>
        <w:spacing w:before="120" w:after="0"/>
        <w:rPr>
          <w:rFonts w:asciiTheme="minorHAnsi" w:hAnsiTheme="minorHAnsi" w:cstheme="minorHAnsi"/>
        </w:rPr>
      </w:pPr>
      <w:r>
        <w:rPr>
          <w:rFonts w:asciiTheme="minorHAnsi" w:hAnsiTheme="minorHAnsi" w:cstheme="minorHAnsi"/>
        </w:rPr>
        <w:t>Read and understand part 1 and annex B of the Department for Education’s statutory safeguarding guidance,</w:t>
      </w:r>
      <w:hyperlink r:id="rId43">
        <w:r>
          <w:rPr>
            <w:rFonts w:asciiTheme="minorHAnsi" w:hAnsiTheme="minorHAnsi" w:cstheme="minorHAnsi"/>
          </w:rPr>
          <w:t xml:space="preserve"> </w:t>
        </w:r>
      </w:hyperlink>
      <w:hyperlink r:id="rId44">
        <w:r>
          <w:rPr>
            <w:rFonts w:asciiTheme="minorHAnsi" w:hAnsiTheme="minorHAnsi" w:cstheme="minorHAnsi"/>
            <w:color w:val="1155CC"/>
            <w:u w:val="single"/>
          </w:rPr>
          <w:t>Keeping Children Safe in Education</w:t>
        </w:r>
      </w:hyperlink>
      <w:r>
        <w:rPr>
          <w:rFonts w:asciiTheme="minorHAnsi" w:hAnsiTheme="minorHAnsi" w:cstheme="minorHAnsi"/>
        </w:rPr>
        <w:t>, and review this guidance at least annually.</w:t>
      </w:r>
    </w:p>
    <w:p>
      <w:pPr>
        <w:numPr>
          <w:ilvl w:val="0"/>
          <w:numId w:val="28"/>
        </w:numPr>
        <w:spacing w:after="0"/>
        <w:rPr>
          <w:rFonts w:asciiTheme="minorHAnsi" w:hAnsiTheme="minorHAnsi" w:cstheme="minorHAnsi"/>
        </w:rPr>
      </w:pPr>
      <w:r>
        <w:rPr>
          <w:rFonts w:asciiTheme="minorHAnsi" w:hAnsiTheme="minorHAnsi" w:cstheme="minorHAnsi"/>
        </w:rPr>
        <w:t>Sign a declaration at the beginning of each academic year to say that they have reviewed the guidance.</w:t>
      </w:r>
    </w:p>
    <w:p>
      <w:pPr>
        <w:numPr>
          <w:ilvl w:val="0"/>
          <w:numId w:val="28"/>
        </w:numPr>
        <w:spacing w:after="0"/>
        <w:rPr>
          <w:rFonts w:asciiTheme="minorHAnsi" w:hAnsiTheme="minorHAnsi" w:cstheme="minorHAnsi"/>
        </w:rPr>
      </w:pPr>
      <w:r>
        <w:rPr>
          <w:rFonts w:asciiTheme="minorHAnsi" w:hAnsiTheme="minorHAnsi" w:cstheme="minorHAnsi"/>
        </w:rPr>
        <w:t xml:space="preserve">Follow the school’s Code of Conduct, including maintaining appropriate standards of conversation and interaction with and between pupils at all times. </w:t>
      </w:r>
    </w:p>
    <w:p>
      <w:pPr>
        <w:numPr>
          <w:ilvl w:val="0"/>
          <w:numId w:val="28"/>
        </w:numPr>
        <w:spacing w:after="0" w:line="276" w:lineRule="auto"/>
        <w:rPr>
          <w:rFonts w:asciiTheme="minorHAnsi" w:hAnsiTheme="minorHAnsi" w:cstheme="minorHAnsi"/>
        </w:rPr>
      </w:pPr>
      <w:r>
        <w:rPr>
          <w:rFonts w:asciiTheme="minorHAnsi" w:hAnsiTheme="minorHAnsi" w:cstheme="minorHAnsi"/>
        </w:rPr>
        <w:lastRenderedPageBreak/>
        <w:t>Follow the school’s rules with regard to relationships with pupils and communication with pupils, including on social media.</w:t>
      </w:r>
    </w:p>
    <w:p>
      <w:pPr>
        <w:numPr>
          <w:ilvl w:val="0"/>
          <w:numId w:val="28"/>
        </w:numPr>
        <w:spacing w:after="0"/>
        <w:rPr>
          <w:rFonts w:asciiTheme="minorHAnsi" w:hAnsiTheme="minorHAnsi" w:cstheme="minorHAnsi"/>
        </w:rPr>
      </w:pPr>
      <w:r>
        <w:rPr>
          <w:rFonts w:asciiTheme="minorHAnsi" w:hAnsiTheme="minorHAnsi" w:cstheme="minorHAnsi"/>
        </w:rPr>
        <w:t>Understand that there are a number of policies which directly relate to our safeguarding responsibilities:</w:t>
      </w:r>
    </w:p>
    <w:p>
      <w:pPr>
        <w:numPr>
          <w:ilvl w:val="1"/>
          <w:numId w:val="5"/>
        </w:numPr>
        <w:spacing w:after="0"/>
        <w:rPr>
          <w:rFonts w:asciiTheme="minorHAnsi" w:hAnsiTheme="minorHAnsi" w:cstheme="minorHAnsi"/>
        </w:rPr>
      </w:pPr>
      <w:r>
        <w:rPr>
          <w:rFonts w:asciiTheme="minorHAnsi" w:hAnsiTheme="minorHAnsi" w:cstheme="minorHAnsi"/>
        </w:rPr>
        <w:t>Accessibility Plan</w:t>
      </w:r>
    </w:p>
    <w:p>
      <w:pPr>
        <w:numPr>
          <w:ilvl w:val="1"/>
          <w:numId w:val="5"/>
        </w:numPr>
        <w:spacing w:after="0"/>
        <w:rPr>
          <w:rFonts w:asciiTheme="minorHAnsi" w:hAnsiTheme="minorHAnsi" w:cstheme="minorHAnsi"/>
        </w:rPr>
      </w:pPr>
      <w:r>
        <w:rPr>
          <w:rFonts w:asciiTheme="minorHAnsi" w:hAnsiTheme="minorHAnsi" w:cstheme="minorHAnsi"/>
        </w:rPr>
        <w:t xml:space="preserve">Allegations against staff (including low-level concerns) policy </w:t>
      </w:r>
    </w:p>
    <w:p>
      <w:pPr>
        <w:numPr>
          <w:ilvl w:val="1"/>
          <w:numId w:val="5"/>
        </w:numPr>
        <w:spacing w:after="0"/>
        <w:rPr>
          <w:rFonts w:asciiTheme="minorHAnsi" w:hAnsiTheme="minorHAnsi" w:cstheme="minorHAnsi"/>
        </w:rPr>
      </w:pPr>
      <w:r>
        <w:rPr>
          <w:rFonts w:asciiTheme="minorHAnsi" w:hAnsiTheme="minorHAnsi" w:cstheme="minorHAnsi"/>
        </w:rPr>
        <w:t>Anti-bullying Policy</w:t>
      </w:r>
    </w:p>
    <w:p>
      <w:pPr>
        <w:numPr>
          <w:ilvl w:val="1"/>
          <w:numId w:val="5"/>
        </w:numPr>
        <w:spacing w:after="0"/>
        <w:rPr>
          <w:rFonts w:asciiTheme="minorHAnsi" w:hAnsiTheme="minorHAnsi" w:cstheme="minorHAnsi"/>
        </w:rPr>
      </w:pPr>
      <w:r>
        <w:rPr>
          <w:rFonts w:asciiTheme="minorHAnsi" w:hAnsiTheme="minorHAnsi" w:cstheme="minorHAnsi"/>
        </w:rPr>
        <w:t>Attendance Policy</w:t>
      </w:r>
    </w:p>
    <w:p>
      <w:pPr>
        <w:numPr>
          <w:ilvl w:val="1"/>
          <w:numId w:val="5"/>
        </w:numPr>
        <w:spacing w:after="0"/>
        <w:rPr>
          <w:rFonts w:asciiTheme="minorHAnsi" w:hAnsiTheme="minorHAnsi" w:cstheme="minorHAnsi"/>
        </w:rPr>
      </w:pPr>
      <w:proofErr w:type="spellStart"/>
      <w:r>
        <w:rPr>
          <w:rFonts w:asciiTheme="minorHAnsi" w:hAnsiTheme="minorHAnsi" w:cstheme="minorHAnsi"/>
        </w:rPr>
        <w:t>Behaviour</w:t>
      </w:r>
      <w:proofErr w:type="spellEnd"/>
      <w:r>
        <w:rPr>
          <w:rFonts w:asciiTheme="minorHAnsi" w:hAnsiTheme="minorHAnsi" w:cstheme="minorHAnsi"/>
        </w:rPr>
        <w:t xml:space="preserve"> Policy</w:t>
      </w:r>
    </w:p>
    <w:p>
      <w:pPr>
        <w:numPr>
          <w:ilvl w:val="1"/>
          <w:numId w:val="5"/>
        </w:numPr>
        <w:spacing w:after="0"/>
        <w:rPr>
          <w:rFonts w:asciiTheme="minorHAnsi" w:hAnsiTheme="minorHAnsi" w:cstheme="minorHAnsi"/>
        </w:rPr>
      </w:pPr>
      <w:r>
        <w:rPr>
          <w:rFonts w:asciiTheme="minorHAnsi" w:hAnsiTheme="minorHAnsi" w:cstheme="minorHAnsi"/>
        </w:rPr>
        <w:t>Complaints Policy</w:t>
      </w:r>
    </w:p>
    <w:p>
      <w:pPr>
        <w:numPr>
          <w:ilvl w:val="1"/>
          <w:numId w:val="5"/>
        </w:numPr>
        <w:spacing w:after="0"/>
        <w:rPr>
          <w:rFonts w:asciiTheme="minorHAnsi" w:hAnsiTheme="minorHAnsi" w:cstheme="minorHAnsi"/>
        </w:rPr>
      </w:pPr>
      <w:r>
        <w:rPr>
          <w:rFonts w:asciiTheme="minorHAnsi" w:hAnsiTheme="minorHAnsi" w:cstheme="minorHAnsi"/>
        </w:rPr>
        <w:t>Data Protection Policy</w:t>
      </w:r>
    </w:p>
    <w:p>
      <w:pPr>
        <w:numPr>
          <w:ilvl w:val="1"/>
          <w:numId w:val="5"/>
        </w:numPr>
        <w:spacing w:after="0"/>
        <w:rPr>
          <w:rFonts w:asciiTheme="minorHAnsi" w:hAnsiTheme="minorHAnsi" w:cstheme="minorHAnsi"/>
        </w:rPr>
      </w:pPr>
      <w:r>
        <w:rPr>
          <w:rFonts w:asciiTheme="minorHAnsi" w:hAnsiTheme="minorHAnsi" w:cstheme="minorHAnsi"/>
        </w:rPr>
        <w:t>Duty to Act: Whistleblowing Policy</w:t>
      </w:r>
    </w:p>
    <w:p>
      <w:pPr>
        <w:numPr>
          <w:ilvl w:val="1"/>
          <w:numId w:val="5"/>
        </w:numPr>
        <w:spacing w:after="0"/>
        <w:rPr>
          <w:rFonts w:asciiTheme="minorHAnsi" w:hAnsiTheme="minorHAnsi" w:cstheme="minorHAnsi"/>
        </w:rPr>
      </w:pPr>
      <w:r>
        <w:rPr>
          <w:rFonts w:asciiTheme="minorHAnsi" w:hAnsiTheme="minorHAnsi" w:cstheme="minorHAnsi"/>
        </w:rPr>
        <w:t>First Aid Procedure</w:t>
      </w:r>
    </w:p>
    <w:p>
      <w:pPr>
        <w:numPr>
          <w:ilvl w:val="1"/>
          <w:numId w:val="5"/>
        </w:numPr>
        <w:spacing w:after="0"/>
        <w:rPr>
          <w:rFonts w:asciiTheme="minorHAnsi" w:hAnsiTheme="minorHAnsi" w:cstheme="minorHAnsi"/>
        </w:rPr>
      </w:pPr>
      <w:r>
        <w:rPr>
          <w:rFonts w:asciiTheme="minorHAnsi" w:hAnsiTheme="minorHAnsi" w:cstheme="minorHAnsi"/>
        </w:rPr>
        <w:t>Equality Objectives and Diversity Statement</w:t>
      </w:r>
    </w:p>
    <w:p>
      <w:pPr>
        <w:numPr>
          <w:ilvl w:val="1"/>
          <w:numId w:val="5"/>
        </w:numPr>
        <w:spacing w:after="0"/>
        <w:rPr>
          <w:rFonts w:asciiTheme="minorHAnsi" w:hAnsiTheme="minorHAnsi" w:cstheme="minorHAnsi"/>
        </w:rPr>
      </w:pPr>
      <w:r>
        <w:rPr>
          <w:rFonts w:asciiTheme="minorHAnsi" w:hAnsiTheme="minorHAnsi" w:cstheme="minorHAnsi"/>
        </w:rPr>
        <w:t>Health and Safety Policy and Arrangements Document</w:t>
      </w:r>
    </w:p>
    <w:p>
      <w:pPr>
        <w:numPr>
          <w:ilvl w:val="1"/>
          <w:numId w:val="5"/>
        </w:numPr>
        <w:spacing w:after="0"/>
        <w:rPr>
          <w:rFonts w:asciiTheme="minorHAnsi" w:hAnsiTheme="minorHAnsi" w:cstheme="minorHAnsi"/>
        </w:rPr>
      </w:pPr>
      <w:r>
        <w:rPr>
          <w:rFonts w:asciiTheme="minorHAnsi" w:hAnsiTheme="minorHAnsi" w:cstheme="minorHAnsi"/>
        </w:rPr>
        <w:t>Intimate Care Procedure (included within the Special Education Needs Policy)</w:t>
      </w:r>
    </w:p>
    <w:p>
      <w:pPr>
        <w:numPr>
          <w:ilvl w:val="1"/>
          <w:numId w:val="5"/>
        </w:numPr>
        <w:spacing w:after="0"/>
        <w:rPr>
          <w:rFonts w:asciiTheme="minorHAnsi" w:hAnsiTheme="minorHAnsi" w:cstheme="minorHAnsi"/>
        </w:rPr>
      </w:pPr>
      <w:r>
        <w:rPr>
          <w:rFonts w:asciiTheme="minorHAnsi" w:hAnsiTheme="minorHAnsi" w:cstheme="minorHAnsi"/>
        </w:rPr>
        <w:t>Lockdown Policy</w:t>
      </w:r>
    </w:p>
    <w:p>
      <w:pPr>
        <w:numPr>
          <w:ilvl w:val="1"/>
          <w:numId w:val="5"/>
        </w:numPr>
        <w:spacing w:after="0"/>
        <w:rPr>
          <w:rFonts w:asciiTheme="minorHAnsi" w:hAnsiTheme="minorHAnsi" w:cstheme="minorHAnsi"/>
        </w:rPr>
      </w:pPr>
      <w:r>
        <w:rPr>
          <w:rFonts w:asciiTheme="minorHAnsi" w:hAnsiTheme="minorHAnsi" w:cstheme="minorHAnsi"/>
        </w:rPr>
        <w:t>Remote Learning Policy</w:t>
      </w:r>
    </w:p>
    <w:p>
      <w:pPr>
        <w:numPr>
          <w:ilvl w:val="1"/>
          <w:numId w:val="5"/>
        </w:numPr>
        <w:spacing w:after="0"/>
        <w:rPr>
          <w:rFonts w:asciiTheme="minorHAnsi" w:hAnsiTheme="minorHAnsi" w:cstheme="minorHAnsi"/>
        </w:rPr>
      </w:pPr>
      <w:r>
        <w:rPr>
          <w:rFonts w:asciiTheme="minorHAnsi" w:hAnsiTheme="minorHAnsi" w:cstheme="minorHAnsi"/>
        </w:rPr>
        <w:t>Online Safety Policy</w:t>
      </w:r>
    </w:p>
    <w:p>
      <w:pPr>
        <w:numPr>
          <w:ilvl w:val="1"/>
          <w:numId w:val="5"/>
        </w:numPr>
        <w:spacing w:after="0"/>
        <w:rPr>
          <w:rFonts w:asciiTheme="minorHAnsi" w:hAnsiTheme="minorHAnsi" w:cstheme="minorHAnsi"/>
        </w:rPr>
      </w:pPr>
      <w:r>
        <w:rPr>
          <w:rFonts w:asciiTheme="minorHAnsi" w:hAnsiTheme="minorHAnsi" w:cstheme="minorHAnsi"/>
        </w:rPr>
        <w:t>Personal, Social, Health and Economic Education (PHSE) Policy including the Relationships and Sex Education (RSE) Policy</w:t>
      </w:r>
    </w:p>
    <w:p>
      <w:pPr>
        <w:numPr>
          <w:ilvl w:val="1"/>
          <w:numId w:val="5"/>
        </w:numPr>
        <w:spacing w:after="0"/>
        <w:rPr>
          <w:rFonts w:asciiTheme="minorHAnsi" w:hAnsiTheme="minorHAnsi" w:cstheme="minorHAnsi"/>
        </w:rPr>
      </w:pPr>
      <w:r>
        <w:rPr>
          <w:rFonts w:asciiTheme="minorHAnsi" w:hAnsiTheme="minorHAnsi" w:cstheme="minorHAnsi"/>
        </w:rPr>
        <w:t>School Code of Conduct</w:t>
      </w:r>
    </w:p>
    <w:p>
      <w:pPr>
        <w:numPr>
          <w:ilvl w:val="1"/>
          <w:numId w:val="5"/>
        </w:numPr>
        <w:spacing w:after="0"/>
        <w:rPr>
          <w:rFonts w:asciiTheme="minorHAnsi" w:hAnsiTheme="minorHAnsi" w:cstheme="minorHAnsi"/>
        </w:rPr>
      </w:pPr>
      <w:r>
        <w:rPr>
          <w:rFonts w:asciiTheme="minorHAnsi" w:hAnsiTheme="minorHAnsi" w:cstheme="minorHAnsi"/>
        </w:rPr>
        <w:t>SCC policy for retention and transfer of child protection and child welfare records</w:t>
      </w:r>
    </w:p>
    <w:p>
      <w:pPr>
        <w:numPr>
          <w:ilvl w:val="1"/>
          <w:numId w:val="5"/>
        </w:numPr>
        <w:spacing w:after="0"/>
        <w:rPr>
          <w:rFonts w:asciiTheme="minorHAnsi" w:hAnsiTheme="minorHAnsi" w:cstheme="minorHAnsi"/>
        </w:rPr>
      </w:pPr>
      <w:r>
        <w:rPr>
          <w:rFonts w:asciiTheme="minorHAnsi" w:hAnsiTheme="minorHAnsi" w:cstheme="minorHAnsi"/>
        </w:rPr>
        <w:t>Single Central Record including Recruitment and Vetting Checks</w:t>
      </w:r>
    </w:p>
    <w:p>
      <w:pPr>
        <w:numPr>
          <w:ilvl w:val="1"/>
          <w:numId w:val="5"/>
        </w:numPr>
        <w:spacing w:after="0"/>
        <w:rPr>
          <w:rFonts w:asciiTheme="minorHAnsi" w:hAnsiTheme="minorHAnsi" w:cstheme="minorHAnsi"/>
        </w:rPr>
      </w:pPr>
      <w:r>
        <w:rPr>
          <w:rFonts w:asciiTheme="minorHAnsi" w:hAnsiTheme="minorHAnsi" w:cstheme="minorHAnsi"/>
        </w:rPr>
        <w:t>Special Educational Needs Policy</w:t>
      </w:r>
    </w:p>
    <w:p>
      <w:pPr>
        <w:numPr>
          <w:ilvl w:val="1"/>
          <w:numId w:val="5"/>
        </w:numPr>
        <w:spacing w:after="0"/>
        <w:rPr>
          <w:rFonts w:asciiTheme="minorHAnsi" w:hAnsiTheme="minorHAnsi" w:cstheme="minorHAnsi"/>
        </w:rPr>
      </w:pPr>
      <w:r>
        <w:rPr>
          <w:rFonts w:asciiTheme="minorHAnsi" w:hAnsiTheme="minorHAnsi" w:cstheme="minorHAnsi"/>
        </w:rPr>
        <w:t>Supporting Children with Medical Conditions Policy</w:t>
      </w:r>
    </w:p>
    <w:p>
      <w:pPr>
        <w:spacing w:before="240" w:after="0"/>
        <w:rPr>
          <w:rFonts w:asciiTheme="minorHAnsi" w:hAnsiTheme="minorHAnsi" w:cstheme="minorHAnsi"/>
          <w:b/>
          <w:sz w:val="24"/>
        </w:rPr>
      </w:pPr>
      <w:r>
        <w:rPr>
          <w:rFonts w:asciiTheme="minorHAnsi" w:hAnsiTheme="minorHAnsi" w:cstheme="minorHAnsi"/>
          <w:b/>
          <w:sz w:val="24"/>
          <w:u w:val="single"/>
        </w:rPr>
        <w:t>Competent</w:t>
      </w:r>
      <w:r>
        <w:rPr>
          <w:rFonts w:asciiTheme="minorHAnsi" w:hAnsiTheme="minorHAnsi" w:cstheme="minorHAnsi"/>
          <w:sz w:val="24"/>
        </w:rPr>
        <w:t xml:space="preserve"> </w:t>
      </w:r>
      <w:r>
        <w:rPr>
          <w:rFonts w:asciiTheme="minorHAnsi" w:hAnsiTheme="minorHAnsi" w:cstheme="minorHAnsi"/>
          <w:b/>
          <w:sz w:val="24"/>
        </w:rPr>
        <w:t xml:space="preserve">- Staff MUST understand and </w:t>
      </w:r>
      <w:proofErr w:type="spellStart"/>
      <w:r>
        <w:rPr>
          <w:rFonts w:asciiTheme="minorHAnsi" w:hAnsiTheme="minorHAnsi" w:cstheme="minorHAnsi"/>
          <w:b/>
          <w:sz w:val="24"/>
        </w:rPr>
        <w:t>recognise</w:t>
      </w:r>
      <w:proofErr w:type="spellEnd"/>
      <w:r>
        <w:rPr>
          <w:rFonts w:asciiTheme="minorHAnsi" w:hAnsiTheme="minorHAnsi" w:cstheme="minorHAnsi"/>
          <w:b/>
          <w:sz w:val="24"/>
        </w:rPr>
        <w:t>:</w:t>
      </w:r>
    </w:p>
    <w:p>
      <w:pPr>
        <w:numPr>
          <w:ilvl w:val="0"/>
          <w:numId w:val="5"/>
        </w:numPr>
        <w:spacing w:before="120" w:after="0"/>
        <w:rPr>
          <w:rFonts w:asciiTheme="minorHAnsi" w:hAnsiTheme="minorHAnsi" w:cstheme="minorHAnsi"/>
        </w:rPr>
      </w:pPr>
      <w:r>
        <w:rPr>
          <w:rFonts w:asciiTheme="minorHAnsi" w:hAnsiTheme="minorHAnsi" w:cstheme="minorHAnsi"/>
        </w:rPr>
        <w:t xml:space="preserve">The signs of different types of abuse, neglect and exploitation, including domestic and sexual abuse (including controlling and coercive </w:t>
      </w:r>
      <w:proofErr w:type="spellStart"/>
      <w:r>
        <w:rPr>
          <w:rFonts w:asciiTheme="minorHAnsi" w:hAnsiTheme="minorHAnsi" w:cstheme="minorHAnsi"/>
        </w:rPr>
        <w:t>behaviour</w:t>
      </w:r>
      <w:proofErr w:type="spellEnd"/>
      <w:r>
        <w:rPr>
          <w:rFonts w:asciiTheme="minorHAnsi" w:hAnsiTheme="minorHAnsi" w:cstheme="minorHAnsi"/>
        </w:rPr>
        <w:t xml:space="preserve">,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w:t>
      </w:r>
      <w:proofErr w:type="spellStart"/>
      <w:r>
        <w:rPr>
          <w:rFonts w:asciiTheme="minorHAnsi" w:hAnsiTheme="minorHAnsi" w:cstheme="minorHAnsi"/>
        </w:rPr>
        <w:t>radicalisation</w:t>
      </w:r>
      <w:proofErr w:type="spellEnd"/>
      <w:r>
        <w:rPr>
          <w:rFonts w:asciiTheme="minorHAnsi" w:hAnsiTheme="minorHAnsi" w:cstheme="minorHAnsi"/>
        </w:rPr>
        <w:t xml:space="preserve"> and serious violence (including that linked to county lines).</w:t>
      </w:r>
    </w:p>
    <w:p>
      <w:pPr>
        <w:numPr>
          <w:ilvl w:val="0"/>
          <w:numId w:val="5"/>
        </w:numPr>
        <w:spacing w:after="0"/>
        <w:rPr>
          <w:rFonts w:asciiTheme="minorHAnsi" w:hAnsiTheme="minorHAnsi" w:cstheme="minorHAnsi"/>
        </w:rPr>
      </w:pPr>
      <w:r>
        <w:rPr>
          <w:rFonts w:asciiTheme="minorHAnsi" w:hAnsiTheme="minorHAnsi" w:cstheme="minorHAnsi"/>
        </w:rPr>
        <w:t xml:space="preserve">Be alert to changes in pupils’ </w:t>
      </w:r>
      <w:proofErr w:type="spellStart"/>
      <w:r>
        <w:rPr>
          <w:rFonts w:asciiTheme="minorHAnsi" w:hAnsiTheme="minorHAnsi" w:cstheme="minorHAnsi"/>
        </w:rPr>
        <w:t>behaviour</w:t>
      </w:r>
      <w:proofErr w:type="spellEnd"/>
      <w:r>
        <w:rPr>
          <w:rFonts w:asciiTheme="minorHAnsi" w:hAnsiTheme="minorHAnsi" w:cstheme="minorHAnsi"/>
        </w:rPr>
        <w:t>, which could be indicators of signs of abuse, neglect and/or exploitation.</w:t>
      </w:r>
    </w:p>
    <w:p>
      <w:pPr>
        <w:numPr>
          <w:ilvl w:val="0"/>
          <w:numId w:val="5"/>
        </w:numPr>
        <w:spacing w:after="0"/>
        <w:rPr>
          <w:rFonts w:asciiTheme="minorHAnsi" w:hAnsiTheme="minorHAnsi" w:cstheme="minorHAnsi"/>
        </w:rPr>
      </w:pPr>
      <w:r>
        <w:rPr>
          <w:rFonts w:asciiTheme="minorHAnsi" w:hAnsiTheme="minorHAnsi" w:cstheme="minorHAnsi"/>
        </w:rPr>
        <w:t>The fact that children can be at risk of harm inside and outside of their home, at school and online.</w:t>
      </w:r>
    </w:p>
    <w:p>
      <w:pPr>
        <w:numPr>
          <w:ilvl w:val="0"/>
          <w:numId w:val="5"/>
        </w:numPr>
        <w:spacing w:after="0"/>
        <w:rPr>
          <w:rFonts w:asciiTheme="minorHAnsi" w:hAnsiTheme="minorHAnsi" w:cstheme="minorHAnsi"/>
        </w:rPr>
      </w:pPr>
      <w:r>
        <w:rPr>
          <w:rFonts w:asciiTheme="minorHAnsi" w:hAnsiTheme="minorHAnsi" w:cstheme="minorHAnsi"/>
        </w:rPr>
        <w:t>What to look for to identify children who need help or protection.</w:t>
      </w:r>
    </w:p>
    <w:p>
      <w:pPr>
        <w:numPr>
          <w:ilvl w:val="0"/>
          <w:numId w:val="5"/>
        </w:numPr>
        <w:spacing w:after="0"/>
        <w:rPr>
          <w:rFonts w:asciiTheme="minorHAnsi" w:hAnsiTheme="minorHAnsi" w:cstheme="minorHAnsi"/>
        </w:rPr>
      </w:pPr>
      <w:r>
        <w:rPr>
          <w:rFonts w:asciiTheme="minorHAnsi" w:hAnsiTheme="minorHAnsi" w:cstheme="minorHAnsi"/>
        </w:rPr>
        <w:t>Understand the process for making referrals to the relevant Local Authority(</w:t>
      </w:r>
      <w:proofErr w:type="spellStart"/>
      <w:r>
        <w:rPr>
          <w:rFonts w:asciiTheme="minorHAnsi" w:hAnsiTheme="minorHAnsi" w:cstheme="minorHAnsi"/>
        </w:rPr>
        <w:t>ies</w:t>
      </w:r>
      <w:proofErr w:type="spellEnd"/>
      <w:r>
        <w:rPr>
          <w:rFonts w:asciiTheme="minorHAnsi" w:hAnsiTheme="minorHAnsi" w:cstheme="minorHAnsi"/>
        </w:rPr>
        <w:t>).</w:t>
      </w:r>
    </w:p>
    <w:p>
      <w:pPr>
        <w:numPr>
          <w:ilvl w:val="0"/>
          <w:numId w:val="5"/>
        </w:numPr>
        <w:spacing w:after="0"/>
        <w:rPr>
          <w:rFonts w:asciiTheme="minorHAnsi" w:hAnsiTheme="minorHAnsi" w:cstheme="minorHAnsi"/>
        </w:rPr>
      </w:pPr>
      <w:r>
        <w:rPr>
          <w:rFonts w:asciiTheme="minorHAnsi" w:hAnsiTheme="minorHAnsi" w:cstheme="minorHAnsi"/>
        </w:rPr>
        <w:t xml:space="preserve">New and emerging threats, including online harm, grooming, sexual exploitation, criminal exploitation, </w:t>
      </w:r>
      <w:proofErr w:type="spellStart"/>
      <w:r>
        <w:rPr>
          <w:rFonts w:asciiTheme="minorHAnsi" w:hAnsiTheme="minorHAnsi" w:cstheme="minorHAnsi"/>
        </w:rPr>
        <w:t>radicalisation</w:t>
      </w:r>
      <w:proofErr w:type="spellEnd"/>
      <w:r>
        <w:rPr>
          <w:rFonts w:asciiTheme="minorHAnsi" w:hAnsiTheme="minorHAnsi" w:cstheme="minorHAnsi"/>
        </w:rPr>
        <w:t>, and the role of technology and social media in presenting harm.</w:t>
      </w:r>
    </w:p>
    <w:p>
      <w:pPr>
        <w:numPr>
          <w:ilvl w:val="0"/>
          <w:numId w:val="5"/>
        </w:numPr>
        <w:spacing w:after="0"/>
        <w:rPr>
          <w:rFonts w:asciiTheme="minorHAnsi" w:hAnsiTheme="minorHAnsi" w:cstheme="minorHAnsi"/>
        </w:rPr>
      </w:pPr>
      <w:r>
        <w:rPr>
          <w:rFonts w:asciiTheme="minorHAnsi" w:hAnsiTheme="minorHAnsi" w:cstheme="minorHAnsi"/>
        </w:rPr>
        <w:t>Understand the importance of early intervention, including how to refer.</w:t>
      </w:r>
    </w:p>
    <w:p>
      <w:pPr>
        <w:numPr>
          <w:ilvl w:val="0"/>
          <w:numId w:val="5"/>
        </w:numPr>
        <w:spacing w:after="0"/>
        <w:rPr>
          <w:rFonts w:asciiTheme="minorHAnsi" w:hAnsiTheme="minorHAnsi" w:cstheme="minorHAnsi"/>
        </w:rPr>
      </w:pPr>
      <w:r>
        <w:rPr>
          <w:rFonts w:asciiTheme="minorHAnsi" w:hAnsiTheme="minorHAnsi" w:cstheme="minorHAnsi"/>
        </w:rPr>
        <w:t xml:space="preserve">That some children will have additional vulnerabilities – See Part 2C Competent: </w:t>
      </w:r>
      <w:proofErr w:type="spellStart"/>
      <w:r>
        <w:rPr>
          <w:rFonts w:asciiTheme="minorHAnsi" w:hAnsiTheme="minorHAnsi" w:cstheme="minorHAnsi"/>
        </w:rPr>
        <w:t>Recognising</w:t>
      </w:r>
      <w:proofErr w:type="spellEnd"/>
      <w:r>
        <w:rPr>
          <w:rFonts w:asciiTheme="minorHAnsi" w:hAnsiTheme="minorHAnsi" w:cstheme="minorHAnsi"/>
        </w:rPr>
        <w:t xml:space="preserve"> that some children have an increased risk of abuse (see </w:t>
      </w:r>
      <w:r>
        <w:rPr>
          <w:rFonts w:asciiTheme="minorHAnsi" w:hAnsiTheme="minorHAnsi" w:cstheme="minorHAnsi"/>
          <w:color w:val="00B050"/>
        </w:rPr>
        <w:t>p26</w:t>
      </w:r>
      <w:r>
        <w:rPr>
          <w:rFonts w:asciiTheme="minorHAnsi" w:hAnsiTheme="minorHAnsi" w:cstheme="minorHAnsi"/>
        </w:rPr>
        <w:t>).</w:t>
      </w:r>
    </w:p>
    <w:p>
      <w:pPr>
        <w:numPr>
          <w:ilvl w:val="0"/>
          <w:numId w:val="5"/>
        </w:numPr>
        <w:spacing w:after="0"/>
        <w:rPr>
          <w:rFonts w:asciiTheme="minorHAnsi" w:hAnsiTheme="minorHAnsi" w:cstheme="minorHAnsi"/>
        </w:rPr>
      </w:pPr>
      <w:r>
        <w:rPr>
          <w:rFonts w:asciiTheme="minorHAnsi" w:hAnsiTheme="minorHAnsi" w:cstheme="minorHAnsi"/>
        </w:rPr>
        <w:t>Be aware that mental health problems can, in some cases, be an indicator that a child has suffered or is at risk of suffering abuse, neglect or exploitation.</w:t>
      </w:r>
    </w:p>
    <w:p>
      <w:pPr>
        <w:spacing w:before="240" w:after="120"/>
        <w:rPr>
          <w:rFonts w:asciiTheme="minorHAnsi" w:hAnsiTheme="minorHAnsi" w:cstheme="minorHAnsi"/>
          <w:b/>
          <w:sz w:val="24"/>
          <w:u w:val="single"/>
        </w:rPr>
      </w:pPr>
    </w:p>
    <w:p>
      <w:pPr>
        <w:spacing w:before="240" w:after="120"/>
        <w:rPr>
          <w:rFonts w:asciiTheme="minorHAnsi" w:hAnsiTheme="minorHAnsi" w:cstheme="minorHAnsi"/>
          <w:sz w:val="24"/>
        </w:rPr>
      </w:pPr>
      <w:r>
        <w:rPr>
          <w:rFonts w:asciiTheme="minorHAnsi" w:hAnsiTheme="minorHAnsi" w:cstheme="minorHAnsi"/>
          <w:b/>
          <w:sz w:val="24"/>
          <w:u w:val="single"/>
        </w:rPr>
        <w:t>Take Action</w:t>
      </w:r>
      <w:r>
        <w:rPr>
          <w:rFonts w:asciiTheme="minorHAnsi" w:hAnsiTheme="minorHAnsi" w:cstheme="minorHAnsi"/>
          <w:b/>
          <w:sz w:val="24"/>
        </w:rPr>
        <w:t xml:space="preserve"> - All Staff MUST:</w:t>
      </w:r>
    </w:p>
    <w:p>
      <w:pPr>
        <w:numPr>
          <w:ilvl w:val="0"/>
          <w:numId w:val="28"/>
        </w:numPr>
        <w:spacing w:after="0"/>
        <w:rPr>
          <w:rFonts w:asciiTheme="minorHAnsi" w:hAnsiTheme="minorHAnsi" w:cstheme="minorHAnsi"/>
        </w:rPr>
      </w:pPr>
      <w:r>
        <w:rPr>
          <w:rFonts w:asciiTheme="minorHAnsi" w:hAnsiTheme="minorHAnsi" w:cstheme="minorHAnsi"/>
        </w:rPr>
        <w:lastRenderedPageBreak/>
        <w:t xml:space="preserve">Maintain an attitude of “it could happen here” with regard to safeguarding.  </w:t>
      </w:r>
    </w:p>
    <w:p>
      <w:pPr>
        <w:numPr>
          <w:ilvl w:val="0"/>
          <w:numId w:val="28"/>
        </w:numPr>
        <w:spacing w:after="0"/>
        <w:rPr>
          <w:rFonts w:asciiTheme="minorHAnsi" w:hAnsiTheme="minorHAnsi" w:cstheme="minorHAnsi"/>
        </w:rPr>
      </w:pPr>
      <w:r>
        <w:rPr>
          <w:rFonts w:asciiTheme="minorHAnsi" w:hAnsiTheme="minorHAnsi" w:cstheme="minorHAnsi"/>
        </w:rPr>
        <w:t>Establish and maintain an environment where children feel secure, are encouraged to talk and are listened to.</w:t>
      </w:r>
    </w:p>
    <w:p>
      <w:pPr>
        <w:numPr>
          <w:ilvl w:val="0"/>
          <w:numId w:val="28"/>
        </w:numPr>
        <w:spacing w:after="0"/>
        <w:rPr>
          <w:rFonts w:asciiTheme="minorHAnsi" w:hAnsiTheme="minorHAnsi" w:cstheme="minorHAnsi"/>
        </w:rPr>
      </w:pPr>
      <w:r>
        <w:rPr>
          <w:rFonts w:asciiTheme="minorHAnsi" w:hAnsiTheme="minorHAnsi" w:cstheme="minorHAnsi"/>
        </w:rPr>
        <w:t xml:space="preserve">Ensure children know that there are adults in the school who they can approach if they are worried or have concerns.  </w:t>
      </w:r>
    </w:p>
    <w:p>
      <w:pPr>
        <w:numPr>
          <w:ilvl w:val="0"/>
          <w:numId w:val="28"/>
        </w:numPr>
        <w:spacing w:after="0"/>
        <w:rPr>
          <w:rFonts w:asciiTheme="minorHAnsi" w:hAnsiTheme="minorHAnsi" w:cstheme="minorHAnsi"/>
        </w:rPr>
      </w:pPr>
      <w:r>
        <w:rPr>
          <w:rFonts w:asciiTheme="minorHAnsi" w:hAnsiTheme="minorHAnsi" w:cstheme="minorHAnsi"/>
        </w:rPr>
        <w:t>Reassure students that they are being taken seriously and that they will be supported and kept safe</w:t>
      </w:r>
    </w:p>
    <w:p>
      <w:pPr>
        <w:numPr>
          <w:ilvl w:val="0"/>
          <w:numId w:val="28"/>
        </w:numPr>
        <w:spacing w:after="0"/>
        <w:rPr>
          <w:rFonts w:asciiTheme="minorHAnsi" w:hAnsiTheme="minorHAnsi" w:cstheme="minorHAnsi"/>
          <w:color w:val="00B050"/>
        </w:rPr>
      </w:pPr>
      <w:r>
        <w:rPr>
          <w:rFonts w:asciiTheme="minorHAnsi" w:hAnsiTheme="minorHAnsi" w:cstheme="minorHAnsi"/>
        </w:rPr>
        <w:t>Record all safeguarding concerns and take action by reporting these</w:t>
      </w:r>
      <w:r>
        <w:rPr>
          <w:rFonts w:asciiTheme="minorHAnsi" w:hAnsiTheme="minorHAnsi" w:cstheme="minorHAnsi"/>
          <w:color w:val="FF0000"/>
        </w:rPr>
        <w:t xml:space="preserve"> </w:t>
      </w:r>
      <w:r>
        <w:rPr>
          <w:rFonts w:asciiTheme="minorHAnsi" w:hAnsiTheme="minorHAnsi" w:cstheme="minorHAnsi"/>
        </w:rPr>
        <w:t>to the DSL in a timely manner or if necessary directly to police or the local authority children’s social care (see Part 3: Taking Action p29). If the DSL is not contactable immediately a DDSL should be informed.</w:t>
      </w:r>
    </w:p>
    <w:p>
      <w:pPr>
        <w:numPr>
          <w:ilvl w:val="0"/>
          <w:numId w:val="28"/>
        </w:numPr>
        <w:spacing w:after="0"/>
        <w:rPr>
          <w:rFonts w:asciiTheme="minorHAnsi" w:hAnsiTheme="minorHAnsi" w:cstheme="minorHAnsi"/>
        </w:rPr>
      </w:pPr>
      <w:r>
        <w:rPr>
          <w:rFonts w:asciiTheme="minorHAnsi" w:hAnsiTheme="minorHAnsi" w:cstheme="minorHAnsi"/>
        </w:rPr>
        <w:t>Treat information with confidentiality but never promise to “keep a secret”. </w:t>
      </w:r>
    </w:p>
    <w:p>
      <w:pPr>
        <w:numPr>
          <w:ilvl w:val="0"/>
          <w:numId w:val="28"/>
        </w:numPr>
        <w:spacing w:after="0"/>
        <w:rPr>
          <w:rFonts w:asciiTheme="minorHAnsi" w:hAnsiTheme="minorHAnsi" w:cstheme="minorHAnsi"/>
        </w:rPr>
      </w:pPr>
      <w:r>
        <w:rPr>
          <w:rFonts w:asciiTheme="minorHAnsi" w:hAnsiTheme="minorHAnsi" w:cstheme="minorHAnsi"/>
        </w:rPr>
        <w:t xml:space="preserve">Reinforce the importance of online safety when communicating with parents and </w:t>
      </w:r>
      <w:proofErr w:type="spellStart"/>
      <w:r>
        <w:rPr>
          <w:rFonts w:asciiTheme="minorHAnsi" w:hAnsiTheme="minorHAnsi" w:cstheme="minorHAnsi"/>
        </w:rPr>
        <w:t>carers</w:t>
      </w:r>
      <w:proofErr w:type="spellEnd"/>
      <w:r>
        <w:rPr>
          <w:rFonts w:asciiTheme="minorHAnsi" w:hAnsiTheme="minorHAnsi" w:cstheme="minorHAnsi"/>
        </w:rPr>
        <w:t xml:space="preserve">. This includes making parents and </w:t>
      </w:r>
      <w:proofErr w:type="spellStart"/>
      <w:r>
        <w:rPr>
          <w:rFonts w:asciiTheme="minorHAnsi" w:hAnsiTheme="minorHAnsi" w:cstheme="minorHAnsi"/>
        </w:rPr>
        <w:t>carers</w:t>
      </w:r>
      <w:proofErr w:type="spellEnd"/>
      <w:r>
        <w:rPr>
          <w:rFonts w:asciiTheme="minorHAnsi" w:hAnsiTheme="minorHAnsi" w:cstheme="minorHAnsi"/>
        </w:rPr>
        <w:t xml:space="preserve"> aware of what we ask children to do online (e.g. sites they need to visit or who they’ll be interacting with online.</w:t>
      </w:r>
    </w:p>
    <w:p>
      <w:pPr>
        <w:numPr>
          <w:ilvl w:val="0"/>
          <w:numId w:val="28"/>
        </w:numPr>
        <w:spacing w:after="0"/>
        <w:rPr>
          <w:rFonts w:asciiTheme="minorHAnsi" w:hAnsiTheme="minorHAnsi" w:cstheme="minorHAnsi"/>
        </w:rPr>
      </w:pPr>
      <w:r>
        <w:rPr>
          <w:rFonts w:asciiTheme="minorHAnsi" w:hAnsiTheme="minorHAnsi" w:cstheme="minorHAnsi"/>
        </w:rPr>
        <w:t>Maintain an appropriate level of confidentiality (in accordance with GDPR).</w:t>
      </w:r>
    </w:p>
    <w:p>
      <w:pPr>
        <w:numPr>
          <w:ilvl w:val="0"/>
          <w:numId w:val="28"/>
        </w:numPr>
        <w:spacing w:after="0"/>
        <w:rPr>
          <w:rFonts w:asciiTheme="minorHAnsi" w:hAnsiTheme="minorHAnsi" w:cstheme="minorHAnsi"/>
        </w:rPr>
      </w:pPr>
      <w:r>
        <w:rPr>
          <w:rFonts w:asciiTheme="minorHAnsi" w:hAnsiTheme="minorHAnsi" w:cstheme="minorHAnsi"/>
        </w:rPr>
        <w:t xml:space="preserve">Follow the procedures set out by LSCB. </w:t>
      </w:r>
    </w:p>
    <w:p>
      <w:pPr>
        <w:numPr>
          <w:ilvl w:val="0"/>
          <w:numId w:val="28"/>
        </w:numPr>
        <w:spacing w:after="0"/>
        <w:rPr>
          <w:rFonts w:asciiTheme="minorHAnsi" w:hAnsiTheme="minorHAnsi" w:cstheme="minorHAnsi"/>
        </w:rPr>
      </w:pPr>
      <w:r>
        <w:rPr>
          <w:rFonts w:asciiTheme="minorHAnsi" w:hAnsiTheme="minorHAnsi" w:cstheme="minorHAnsi"/>
        </w:rPr>
        <w:t>If the information shared is an allegation against a member of staff, follow the allegations procedures set out in Appendix 3 (page 52)</w:t>
      </w:r>
    </w:p>
    <w:p>
      <w:pPr>
        <w:numPr>
          <w:ilvl w:val="0"/>
          <w:numId w:val="28"/>
        </w:numPr>
        <w:spacing w:after="0"/>
        <w:rPr>
          <w:rFonts w:asciiTheme="minorHAnsi" w:hAnsiTheme="minorHAnsi" w:cstheme="minorHAnsi"/>
        </w:rPr>
      </w:pPr>
      <w:r>
        <w:rPr>
          <w:rFonts w:asciiTheme="minorHAnsi" w:hAnsiTheme="minorHAnsi" w:cstheme="minorHAnsi"/>
        </w:rPr>
        <w:t>Apply the use of reasonable force only as a last resort and in compliance with school and LSCB procedures.</w:t>
      </w:r>
    </w:p>
    <w:p>
      <w:pPr>
        <w:numPr>
          <w:ilvl w:val="0"/>
          <w:numId w:val="13"/>
        </w:numPr>
        <w:spacing w:after="0" w:line="276" w:lineRule="auto"/>
        <w:rPr>
          <w:rFonts w:asciiTheme="minorHAnsi" w:hAnsiTheme="minorHAnsi" w:cstheme="minorHAnsi"/>
        </w:rPr>
      </w:pPr>
      <w:r>
        <w:rPr>
          <w:rFonts w:asciiTheme="minorHAnsi" w:hAnsiTheme="minorHAnsi" w:cstheme="minorHAnsi"/>
        </w:rPr>
        <w:t xml:space="preserve">Deal with any bullying incidents that may occur, reporting them according to the school’s </w:t>
      </w:r>
      <w:proofErr w:type="spellStart"/>
      <w:r>
        <w:rPr>
          <w:rFonts w:asciiTheme="minorHAnsi" w:hAnsiTheme="minorHAnsi" w:cstheme="minorHAnsi"/>
        </w:rPr>
        <w:t>behaviour</w:t>
      </w:r>
      <w:proofErr w:type="spellEnd"/>
      <w:r>
        <w:rPr>
          <w:rFonts w:asciiTheme="minorHAnsi" w:hAnsiTheme="minorHAnsi" w:cstheme="minorHAnsi"/>
        </w:rPr>
        <w:t xml:space="preserve"> policy.</w:t>
      </w:r>
    </w:p>
    <w:p>
      <w:pPr>
        <w:spacing w:after="0"/>
        <w:rPr>
          <w:rFonts w:asciiTheme="minorHAnsi" w:hAnsiTheme="minorHAnsi" w:cstheme="minorHAnsi"/>
          <w:b/>
          <w:sz w:val="24"/>
          <w:u w:val="single"/>
        </w:rPr>
      </w:pPr>
    </w:p>
    <w:p>
      <w:pPr>
        <w:pStyle w:val="Heading3"/>
        <w:rPr>
          <w:sz w:val="22"/>
        </w:rPr>
      </w:pPr>
      <w:bookmarkStart w:id="22" w:name="_Toc172030595"/>
      <w:r>
        <w:t>8.2 DSLs</w:t>
      </w:r>
      <w:bookmarkEnd w:id="22"/>
    </w:p>
    <w:p>
      <w:pPr>
        <w:spacing w:after="0"/>
        <w:rPr>
          <w:rFonts w:asciiTheme="minorHAnsi" w:hAnsiTheme="minorHAnsi" w:cstheme="minorHAnsi"/>
          <w:sz w:val="24"/>
        </w:rPr>
      </w:pPr>
      <w:r>
        <w:rPr>
          <w:rFonts w:asciiTheme="minorHAnsi" w:hAnsiTheme="minorHAnsi" w:cstheme="minorHAnsi"/>
          <w:b/>
          <w:sz w:val="24"/>
          <w:u w:val="single"/>
        </w:rPr>
        <w:t>Aware</w:t>
      </w:r>
      <w:r>
        <w:rPr>
          <w:rFonts w:asciiTheme="minorHAnsi" w:hAnsiTheme="minorHAnsi" w:cstheme="minorHAnsi"/>
          <w:b/>
          <w:sz w:val="24"/>
        </w:rPr>
        <w:t xml:space="preserve"> - DSLs WILL ensure:</w:t>
      </w:r>
    </w:p>
    <w:p>
      <w:pPr>
        <w:numPr>
          <w:ilvl w:val="0"/>
          <w:numId w:val="26"/>
        </w:numPr>
        <w:spacing w:after="0"/>
        <w:rPr>
          <w:rFonts w:asciiTheme="minorHAnsi" w:hAnsiTheme="minorHAnsi" w:cstheme="minorHAnsi"/>
        </w:rPr>
      </w:pPr>
      <w:r>
        <w:rPr>
          <w:rFonts w:asciiTheme="minorHAnsi" w:hAnsiTheme="minorHAnsi" w:cstheme="minorHAnsi"/>
        </w:rPr>
        <w:t>They have the status and authority within the school to carry out the duties of the post, including committing resources and supporting and directing other staff</w:t>
      </w:r>
    </w:p>
    <w:p>
      <w:pPr>
        <w:numPr>
          <w:ilvl w:val="0"/>
          <w:numId w:val="26"/>
        </w:numPr>
        <w:spacing w:after="0"/>
        <w:rPr>
          <w:rFonts w:asciiTheme="minorHAnsi" w:hAnsiTheme="minorHAnsi" w:cstheme="minorHAnsi"/>
        </w:rPr>
      </w:pPr>
      <w:r>
        <w:rPr>
          <w:rFonts w:asciiTheme="minorHAnsi" w:hAnsiTheme="minorHAnsi" w:cstheme="minorHAnsi"/>
        </w:rPr>
        <w:t xml:space="preserve">Every member of staff knows who the DSL(s) are and is aware of their role, including how to contact them. </w:t>
      </w:r>
    </w:p>
    <w:p>
      <w:pPr>
        <w:numPr>
          <w:ilvl w:val="0"/>
          <w:numId w:val="26"/>
        </w:numPr>
        <w:spacing w:after="0"/>
        <w:rPr>
          <w:rFonts w:asciiTheme="minorHAnsi" w:hAnsiTheme="minorHAnsi" w:cstheme="minorHAnsi"/>
        </w:rPr>
      </w:pPr>
      <w:r>
        <w:rPr>
          <w:rFonts w:asciiTheme="minorHAnsi" w:hAnsiTheme="minorHAnsi" w:cstheme="minorHAnsi"/>
        </w:rPr>
        <w:t>Parents are aware of the school’s role in safeguarding and that referrals about suspected abuse and neglect may be made.</w:t>
      </w:r>
    </w:p>
    <w:p>
      <w:pPr>
        <w:numPr>
          <w:ilvl w:val="0"/>
          <w:numId w:val="26"/>
        </w:numPr>
        <w:spacing w:after="0"/>
        <w:rPr>
          <w:rFonts w:asciiTheme="minorHAnsi" w:hAnsiTheme="minorHAnsi" w:cstheme="minorHAnsi"/>
        </w:rPr>
      </w:pPr>
      <w:r>
        <w:rPr>
          <w:rFonts w:asciiTheme="minorHAnsi" w:hAnsiTheme="minorHAnsi" w:cstheme="minorHAnsi"/>
        </w:rPr>
        <w:t>All staff sign to indicate that they have read and understood the child protection policy, read Keeping Children Safe in Education and undertaken the statutory safeguarding training.</w:t>
      </w:r>
    </w:p>
    <w:p>
      <w:pPr>
        <w:numPr>
          <w:ilvl w:val="0"/>
          <w:numId w:val="26"/>
        </w:numPr>
        <w:spacing w:after="0"/>
        <w:rPr>
          <w:rFonts w:asciiTheme="minorHAnsi" w:hAnsiTheme="minorHAnsi" w:cstheme="minorHAnsi"/>
        </w:rPr>
      </w:pPr>
      <w:r>
        <w:rPr>
          <w:rFonts w:asciiTheme="minorHAnsi" w:hAnsiTheme="minorHAnsi" w:cstheme="minorHAnsi"/>
        </w:rPr>
        <w:t>The child protection policy and procedures are regularly reviewed and updated annually, working with governors regarding this.</w:t>
      </w:r>
    </w:p>
    <w:p>
      <w:pPr>
        <w:numPr>
          <w:ilvl w:val="0"/>
          <w:numId w:val="26"/>
        </w:numPr>
        <w:spacing w:after="0"/>
        <w:rPr>
          <w:rFonts w:asciiTheme="minorHAnsi" w:hAnsiTheme="minorHAnsi" w:cstheme="minorHAnsi"/>
        </w:rPr>
      </w:pPr>
      <w:r>
        <w:rPr>
          <w:rFonts w:asciiTheme="minorHAnsi" w:hAnsiTheme="minorHAnsi" w:cstheme="minorHAnsi"/>
        </w:rPr>
        <w:t>They inform the headteacher of any issues.</w:t>
      </w:r>
    </w:p>
    <w:p>
      <w:pPr>
        <w:numPr>
          <w:ilvl w:val="0"/>
          <w:numId w:val="26"/>
        </w:numPr>
        <w:spacing w:after="240"/>
        <w:rPr>
          <w:rFonts w:asciiTheme="minorHAnsi" w:hAnsiTheme="minorHAnsi" w:cstheme="minorHAnsi"/>
        </w:rPr>
      </w:pPr>
      <w:r>
        <w:rPr>
          <w:rFonts w:asciiTheme="minorHAnsi" w:hAnsiTheme="minorHAnsi" w:cstheme="minorHAnsi"/>
        </w:rPr>
        <w:t>They liaise with the nominated safeguarding governor.</w:t>
      </w:r>
    </w:p>
    <w:p>
      <w:pPr>
        <w:spacing w:after="120"/>
        <w:rPr>
          <w:rFonts w:asciiTheme="minorHAnsi" w:hAnsiTheme="minorHAnsi" w:cstheme="minorHAnsi"/>
          <w:color w:val="FF0000"/>
          <w:sz w:val="24"/>
        </w:rPr>
      </w:pPr>
      <w:r>
        <w:rPr>
          <w:rFonts w:asciiTheme="minorHAnsi" w:hAnsiTheme="minorHAnsi" w:cstheme="minorHAnsi"/>
          <w:b/>
          <w:sz w:val="24"/>
          <w:u w:val="single"/>
        </w:rPr>
        <w:t>Competent</w:t>
      </w:r>
      <w:r>
        <w:rPr>
          <w:rFonts w:asciiTheme="minorHAnsi" w:hAnsiTheme="minorHAnsi" w:cstheme="minorHAnsi"/>
          <w:sz w:val="24"/>
        </w:rPr>
        <w:t xml:space="preserve"> </w:t>
      </w:r>
      <w:r>
        <w:rPr>
          <w:rFonts w:asciiTheme="minorHAnsi" w:hAnsiTheme="minorHAnsi" w:cstheme="minorHAnsi"/>
          <w:b/>
          <w:sz w:val="24"/>
        </w:rPr>
        <w:t>- DSLs MUST:</w:t>
      </w:r>
    </w:p>
    <w:p>
      <w:pPr>
        <w:numPr>
          <w:ilvl w:val="0"/>
          <w:numId w:val="7"/>
        </w:numPr>
        <w:spacing w:after="0"/>
        <w:rPr>
          <w:rFonts w:asciiTheme="minorHAnsi" w:hAnsiTheme="minorHAnsi" w:cstheme="minorHAnsi"/>
        </w:rPr>
      </w:pPr>
      <w:r>
        <w:rPr>
          <w:rFonts w:asciiTheme="minorHAnsi" w:hAnsiTheme="minorHAnsi" w:cstheme="minorHAnsi"/>
        </w:rPr>
        <w:t>Be given the time, funding, training, resources and support needed to fulfil their roles and responsibilities.</w:t>
      </w:r>
    </w:p>
    <w:p>
      <w:pPr>
        <w:numPr>
          <w:ilvl w:val="0"/>
          <w:numId w:val="7"/>
        </w:numPr>
        <w:spacing w:after="0"/>
        <w:rPr>
          <w:rFonts w:asciiTheme="minorHAnsi" w:hAnsiTheme="minorHAnsi" w:cstheme="minorHAnsi"/>
        </w:rPr>
      </w:pPr>
      <w:r>
        <w:rPr>
          <w:rFonts w:asciiTheme="minorHAnsi" w:hAnsiTheme="minorHAnsi" w:cstheme="minorHAnsi"/>
        </w:rPr>
        <w:t>Be appropriately trained, with updates every two years.</w:t>
      </w:r>
    </w:p>
    <w:p>
      <w:pPr>
        <w:numPr>
          <w:ilvl w:val="0"/>
          <w:numId w:val="7"/>
        </w:numPr>
        <w:spacing w:after="0"/>
        <w:rPr>
          <w:rFonts w:asciiTheme="minorHAnsi" w:hAnsiTheme="minorHAnsi" w:cstheme="minorHAnsi"/>
        </w:rPr>
      </w:pPr>
      <w:r>
        <w:rPr>
          <w:rFonts w:asciiTheme="minorHAnsi" w:hAnsiTheme="minorHAnsi" w:cstheme="minorHAnsi"/>
        </w:rPr>
        <w:t>Keep a record of staff attendance at child protection training.</w:t>
      </w:r>
    </w:p>
    <w:p>
      <w:pPr>
        <w:numPr>
          <w:ilvl w:val="0"/>
          <w:numId w:val="7"/>
        </w:numPr>
        <w:spacing w:after="0"/>
        <w:rPr>
          <w:rFonts w:asciiTheme="minorHAnsi" w:hAnsiTheme="minorHAnsi" w:cstheme="minorHAnsi"/>
        </w:rPr>
      </w:pPr>
      <w:r>
        <w:rPr>
          <w:rFonts w:asciiTheme="minorHAnsi" w:hAnsiTheme="minorHAnsi" w:cstheme="minorHAnsi"/>
        </w:rPr>
        <w:t>Provide advice and support to other staff on child welfare and child protection matters.</w:t>
      </w:r>
    </w:p>
    <w:p>
      <w:pPr>
        <w:numPr>
          <w:ilvl w:val="0"/>
          <w:numId w:val="7"/>
        </w:numPr>
        <w:spacing w:after="0"/>
        <w:rPr>
          <w:rFonts w:asciiTheme="minorHAnsi" w:hAnsiTheme="minorHAnsi" w:cstheme="minorHAnsi"/>
        </w:rPr>
      </w:pPr>
      <w:r>
        <w:rPr>
          <w:rFonts w:asciiTheme="minorHAnsi" w:hAnsiTheme="minorHAnsi" w:cstheme="minorHAnsi"/>
        </w:rPr>
        <w:t>Act as a source of support and expertise to the school community.</w:t>
      </w:r>
    </w:p>
    <w:p>
      <w:pPr>
        <w:numPr>
          <w:ilvl w:val="0"/>
          <w:numId w:val="7"/>
        </w:numPr>
        <w:spacing w:after="0"/>
        <w:rPr>
          <w:rFonts w:asciiTheme="minorHAnsi" w:hAnsiTheme="minorHAnsi" w:cstheme="minorHAnsi"/>
        </w:rPr>
      </w:pPr>
      <w:r>
        <w:rPr>
          <w:rFonts w:asciiTheme="minorHAnsi" w:hAnsiTheme="minorHAnsi" w:cstheme="minorHAnsi"/>
        </w:rPr>
        <w:t>Encourage a culture of listening to children and taking account of their wishes and feelings.</w:t>
      </w:r>
    </w:p>
    <w:p>
      <w:pPr>
        <w:numPr>
          <w:ilvl w:val="0"/>
          <w:numId w:val="7"/>
        </w:numPr>
        <w:spacing w:after="0"/>
        <w:rPr>
          <w:rFonts w:asciiTheme="minorHAnsi" w:hAnsiTheme="minorHAnsi" w:cstheme="minorHAnsi"/>
        </w:rPr>
      </w:pPr>
      <w:r>
        <w:rPr>
          <w:rFonts w:asciiTheme="minorHAnsi" w:hAnsiTheme="minorHAnsi" w:cstheme="minorHAnsi"/>
        </w:rPr>
        <w:t>Be confident that they know what local specialist support is available to support all children involved (including victims and alleged perpetrators) in sexual violence and sexual harassment, and be confident as to how to access this support.</w:t>
      </w:r>
    </w:p>
    <w:p>
      <w:pPr>
        <w:numPr>
          <w:ilvl w:val="0"/>
          <w:numId w:val="7"/>
        </w:numPr>
        <w:spacing w:after="0"/>
        <w:rPr>
          <w:rFonts w:asciiTheme="minorHAnsi" w:hAnsiTheme="minorHAnsi" w:cstheme="minorHAnsi"/>
        </w:rPr>
      </w:pPr>
      <w:r>
        <w:rPr>
          <w:rFonts w:asciiTheme="minorHAnsi" w:hAnsiTheme="minorHAnsi" w:cstheme="minorHAnsi"/>
        </w:rPr>
        <w:t xml:space="preserve">Have a good understanding of harmful sexual </w:t>
      </w:r>
      <w:proofErr w:type="spellStart"/>
      <w:r>
        <w:rPr>
          <w:rFonts w:asciiTheme="minorHAnsi" w:hAnsiTheme="minorHAnsi" w:cstheme="minorHAnsi"/>
        </w:rPr>
        <w:t>behaviour</w:t>
      </w:r>
      <w:proofErr w:type="spellEnd"/>
      <w:r>
        <w:rPr>
          <w:rFonts w:asciiTheme="minorHAnsi" w:hAnsiTheme="minorHAnsi" w:cstheme="minorHAnsi"/>
        </w:rPr>
        <w:t>.</w:t>
      </w:r>
    </w:p>
    <w:p>
      <w:pPr>
        <w:numPr>
          <w:ilvl w:val="0"/>
          <w:numId w:val="7"/>
        </w:numPr>
        <w:spacing w:after="0"/>
        <w:rPr>
          <w:rFonts w:asciiTheme="minorHAnsi" w:hAnsiTheme="minorHAnsi" w:cstheme="minorHAnsi"/>
        </w:rPr>
      </w:pPr>
      <w:r>
        <w:rPr>
          <w:rFonts w:asciiTheme="minorHAnsi" w:hAnsiTheme="minorHAnsi" w:cstheme="minorHAnsi"/>
        </w:rPr>
        <w:lastRenderedPageBreak/>
        <w:t>Have a good understanding of the filtering and monitoring systems and processes in place at our school.</w:t>
      </w:r>
    </w:p>
    <w:p>
      <w:pPr>
        <w:numPr>
          <w:ilvl w:val="0"/>
          <w:numId w:val="7"/>
        </w:numPr>
        <w:spacing w:after="0"/>
        <w:rPr>
          <w:rFonts w:asciiTheme="minorHAnsi" w:hAnsiTheme="minorHAnsi" w:cstheme="minorHAnsi"/>
        </w:rPr>
      </w:pPr>
      <w:r>
        <w:rPr>
          <w:rFonts w:asciiTheme="minorHAnsi" w:hAnsiTheme="minorHAnsi" w:cstheme="minorHAnsi"/>
        </w:rPr>
        <w:t>Be aware that children must have an ‘appropriate adult’ to support and help them in the case of a police investigation or search.</w:t>
      </w:r>
    </w:p>
    <w:p>
      <w:pPr>
        <w:numPr>
          <w:ilvl w:val="0"/>
          <w:numId w:val="7"/>
        </w:numPr>
        <w:spacing w:after="0"/>
        <w:rPr>
          <w:rFonts w:asciiTheme="minorHAnsi" w:hAnsiTheme="minorHAnsi" w:cstheme="minorHAnsi"/>
        </w:rPr>
      </w:pPr>
      <w:r>
        <w:rPr>
          <w:rFonts w:asciiTheme="minorHAnsi" w:hAnsiTheme="minorHAnsi" w:cstheme="minorHAnsi"/>
        </w:rPr>
        <w:t>Have a working knowledge of SSCP procedures.</w:t>
      </w:r>
    </w:p>
    <w:p>
      <w:pPr>
        <w:numPr>
          <w:ilvl w:val="0"/>
          <w:numId w:val="7"/>
        </w:numPr>
        <w:spacing w:after="0"/>
        <w:rPr>
          <w:rFonts w:asciiTheme="minorHAnsi" w:hAnsiTheme="minorHAnsi" w:cstheme="minorHAnsi"/>
        </w:rPr>
      </w:pPr>
      <w:r>
        <w:rPr>
          <w:rFonts w:asciiTheme="minorHAnsi" w:hAnsiTheme="minorHAnsi" w:cstheme="minorHAnsi"/>
        </w:rPr>
        <w:t>Develop effective links with relevant statutory and voluntary agencies.</w:t>
      </w:r>
    </w:p>
    <w:p>
      <w:pPr>
        <w:numPr>
          <w:ilvl w:val="0"/>
          <w:numId w:val="7"/>
        </w:numPr>
        <w:spacing w:after="240"/>
        <w:rPr>
          <w:rFonts w:asciiTheme="minorHAnsi" w:hAnsiTheme="minorHAnsi" w:cstheme="minorHAnsi"/>
        </w:rPr>
      </w:pPr>
      <w:r>
        <w:rPr>
          <w:rFonts w:asciiTheme="minorHAnsi" w:hAnsiTheme="minorHAnsi" w:cstheme="minorHAnsi"/>
        </w:rPr>
        <w:t>Discuss the local response to contextual citywide safeguarding issues with police and local authority children’s social care colleagues.</w:t>
      </w:r>
    </w:p>
    <w:p>
      <w:pPr>
        <w:spacing w:after="120"/>
        <w:rPr>
          <w:rFonts w:asciiTheme="minorHAnsi" w:hAnsiTheme="minorHAnsi" w:cstheme="minorHAnsi"/>
          <w:sz w:val="24"/>
        </w:rPr>
      </w:pPr>
      <w:r>
        <w:rPr>
          <w:rFonts w:asciiTheme="minorHAnsi" w:hAnsiTheme="minorHAnsi" w:cstheme="minorHAnsi"/>
          <w:b/>
          <w:sz w:val="24"/>
          <w:u w:val="single"/>
        </w:rPr>
        <w:t>Take Action</w:t>
      </w:r>
      <w:r>
        <w:rPr>
          <w:rFonts w:asciiTheme="minorHAnsi" w:hAnsiTheme="minorHAnsi" w:cstheme="minorHAnsi"/>
          <w:b/>
          <w:sz w:val="24"/>
        </w:rPr>
        <w:t xml:space="preserve"> - DSLs MUST:</w:t>
      </w:r>
    </w:p>
    <w:p>
      <w:pPr>
        <w:numPr>
          <w:ilvl w:val="0"/>
          <w:numId w:val="37"/>
        </w:numPr>
        <w:spacing w:after="0"/>
        <w:rPr>
          <w:rFonts w:asciiTheme="minorHAnsi" w:hAnsiTheme="minorHAnsi" w:cstheme="minorHAnsi"/>
        </w:rPr>
      </w:pPr>
      <w:r>
        <w:rPr>
          <w:rFonts w:asciiTheme="minorHAnsi" w:hAnsiTheme="minorHAnsi" w:cstheme="minorHAnsi"/>
        </w:rPr>
        <w:t>Keep detailed written records of all concerns, ensuring that such records are stored securely, but kept separate from, the pupil’s general file.</w:t>
      </w:r>
    </w:p>
    <w:p>
      <w:pPr>
        <w:numPr>
          <w:ilvl w:val="0"/>
          <w:numId w:val="37"/>
        </w:numPr>
        <w:spacing w:after="0"/>
        <w:rPr>
          <w:rFonts w:asciiTheme="minorHAnsi" w:hAnsiTheme="minorHAnsi" w:cstheme="minorHAnsi"/>
        </w:rPr>
      </w:pPr>
      <w:r>
        <w:rPr>
          <w:rFonts w:asciiTheme="minorHAnsi" w:hAnsiTheme="minorHAnsi" w:cstheme="minorHAnsi"/>
        </w:rPr>
        <w:t xml:space="preserve">Refer cases, as appropriate, in a timely manner to the relevant body. </w:t>
      </w:r>
    </w:p>
    <w:p>
      <w:pPr>
        <w:numPr>
          <w:ilvl w:val="0"/>
          <w:numId w:val="37"/>
        </w:numPr>
        <w:spacing w:after="0"/>
        <w:rPr>
          <w:rFonts w:asciiTheme="minorHAnsi" w:hAnsiTheme="minorHAnsi" w:cstheme="minorHAnsi"/>
        </w:rPr>
      </w:pPr>
      <w:r>
        <w:rPr>
          <w:rFonts w:asciiTheme="minorHAnsi" w:hAnsiTheme="minorHAnsi" w:cstheme="minorHAnsi"/>
        </w:rPr>
        <w:t>Take part in strategy discussions and inter-agency meetings and/or support other staff to do so.</w:t>
      </w:r>
    </w:p>
    <w:p>
      <w:pPr>
        <w:numPr>
          <w:ilvl w:val="0"/>
          <w:numId w:val="37"/>
        </w:numPr>
        <w:spacing w:after="0"/>
        <w:rPr>
          <w:rFonts w:asciiTheme="minorHAnsi" w:hAnsiTheme="minorHAnsi" w:cstheme="minorHAnsi"/>
        </w:rPr>
      </w:pPr>
      <w:r>
        <w:rPr>
          <w:rFonts w:asciiTheme="minorHAnsi" w:hAnsiTheme="minorHAnsi" w:cstheme="minorHAnsi"/>
        </w:rPr>
        <w:t>Contribute to the assessment of children.</w:t>
      </w:r>
    </w:p>
    <w:p>
      <w:pPr>
        <w:numPr>
          <w:ilvl w:val="0"/>
          <w:numId w:val="37"/>
        </w:numPr>
        <w:spacing w:after="0"/>
        <w:rPr>
          <w:rFonts w:asciiTheme="minorHAnsi" w:hAnsiTheme="minorHAnsi" w:cstheme="minorHAnsi"/>
        </w:rPr>
      </w:pPr>
      <w:r>
        <w:rPr>
          <w:rFonts w:asciiTheme="minorHAnsi" w:hAnsiTheme="minorHAnsi" w:cstheme="minorHAnsi"/>
        </w:rPr>
        <w:t>Liaise with local authority case managers and designated officers for child protection concerns as appropriate.</w:t>
      </w:r>
    </w:p>
    <w:p>
      <w:pPr>
        <w:numPr>
          <w:ilvl w:val="0"/>
          <w:numId w:val="37"/>
        </w:numPr>
        <w:spacing w:after="0"/>
        <w:rPr>
          <w:rFonts w:asciiTheme="minorHAnsi" w:hAnsiTheme="minorHAnsi" w:cstheme="minorHAnsi"/>
        </w:rPr>
      </w:pPr>
      <w:r>
        <w:rPr>
          <w:rFonts w:asciiTheme="minorHAnsi" w:hAnsiTheme="minorHAnsi" w:cstheme="minorHAnsi"/>
        </w:rPr>
        <w:t>Notify children’s social care if a child with a child protection plan is absent without reasonable explanation.</w:t>
      </w:r>
    </w:p>
    <w:p>
      <w:pPr>
        <w:numPr>
          <w:ilvl w:val="0"/>
          <w:numId w:val="37"/>
        </w:numPr>
        <w:spacing w:after="0"/>
        <w:rPr>
          <w:rFonts w:asciiTheme="minorHAnsi" w:hAnsiTheme="minorHAnsi" w:cstheme="minorHAnsi"/>
        </w:rPr>
      </w:pPr>
      <w:r>
        <w:rPr>
          <w:rFonts w:asciiTheme="minorHAnsi" w:hAnsiTheme="minorHAnsi" w:cstheme="minorHAnsi"/>
        </w:rPr>
        <w:t>Consider the information that is shared prior to a child leaving the school in order to allow the school</w:t>
      </w:r>
      <w:r>
        <w:rPr>
          <w:rFonts w:asciiTheme="minorHAnsi" w:hAnsiTheme="minorHAnsi" w:cstheme="minorHAnsi"/>
          <w:color w:val="0000FF"/>
        </w:rPr>
        <w:t xml:space="preserve"> </w:t>
      </w:r>
      <w:r>
        <w:rPr>
          <w:rFonts w:asciiTheme="minorHAnsi" w:hAnsiTheme="minorHAnsi" w:cstheme="minorHAnsi"/>
        </w:rPr>
        <w:t xml:space="preserve">to have support in place for when the child arrives. </w:t>
      </w:r>
    </w:p>
    <w:p>
      <w:pPr>
        <w:numPr>
          <w:ilvl w:val="0"/>
          <w:numId w:val="37"/>
        </w:numPr>
        <w:spacing w:after="240"/>
        <w:rPr>
          <w:rFonts w:asciiTheme="minorHAnsi" w:hAnsiTheme="minorHAnsi" w:cstheme="minorHAnsi"/>
        </w:rPr>
      </w:pPr>
      <w:r>
        <w:rPr>
          <w:rFonts w:asciiTheme="minorHAnsi" w:hAnsiTheme="minorHAnsi" w:cstheme="minorHAnsi"/>
        </w:rPr>
        <w:t xml:space="preserve">Ensure that safeguarding records are transferred accordingly (separate from the pupil’s files) within 5 days when a child transfers schools, including in-year transfer and that confirmation of receipt is obtained.  </w:t>
      </w:r>
    </w:p>
    <w:p>
      <w:pPr>
        <w:spacing w:before="240" w:after="240"/>
        <w:rPr>
          <w:rFonts w:asciiTheme="minorHAnsi" w:hAnsiTheme="minorHAnsi" w:cstheme="minorHAnsi"/>
        </w:rPr>
      </w:pPr>
      <w:r>
        <w:rPr>
          <w:rFonts w:asciiTheme="minorHAnsi" w:hAnsiTheme="minorHAnsi" w:cstheme="minorHAnsi"/>
        </w:rPr>
        <w:t>The full responsibilities and expectations of the DSL and deputies are set out in their job description and in KCSIE.</w:t>
      </w:r>
    </w:p>
    <w:p>
      <w:pPr>
        <w:widowControl w:val="0"/>
        <w:spacing w:after="120" w:line="240" w:lineRule="auto"/>
        <w:ind w:right="120"/>
        <w:rPr>
          <w:rFonts w:asciiTheme="minorHAnsi" w:hAnsiTheme="minorHAnsi" w:cstheme="minorHAnsi"/>
          <w:b/>
        </w:rPr>
      </w:pPr>
      <w:r>
        <w:rPr>
          <w:rFonts w:asciiTheme="minorHAnsi" w:hAnsiTheme="minorHAnsi" w:cstheme="minorHAnsi"/>
          <w:b/>
        </w:rPr>
        <w:t>The Deputy Designated Safeguarding Lead(s):</w:t>
      </w:r>
    </w:p>
    <w:p>
      <w:pPr>
        <w:widowControl w:val="0"/>
        <w:numPr>
          <w:ilvl w:val="0"/>
          <w:numId w:val="18"/>
        </w:numPr>
        <w:spacing w:after="0" w:line="240" w:lineRule="auto"/>
        <w:ind w:right="120"/>
        <w:rPr>
          <w:rFonts w:asciiTheme="minorHAnsi" w:hAnsiTheme="minorHAnsi" w:cstheme="minorHAnsi"/>
        </w:rPr>
      </w:pPr>
      <w:r>
        <w:rPr>
          <w:rFonts w:asciiTheme="minorHAnsi" w:hAnsiTheme="minorHAnsi" w:cstheme="minorHAnsi"/>
        </w:rPr>
        <w:t>The DDSL is appropriately trained and, in the absence of the designated person, carries out those functions necessary to ensure the ongoing safety and protection of pupils. In the event of the long-term absence of the designated person, the deputy will assume all of the functions above.</w:t>
      </w:r>
    </w:p>
    <w:p>
      <w:pPr>
        <w:pStyle w:val="Heading3"/>
      </w:pPr>
      <w:bookmarkStart w:id="23" w:name="_Toc172030596"/>
      <w:r>
        <w:t>8.3 The Governing Body</w:t>
      </w:r>
      <w:bookmarkEnd w:id="23"/>
      <w:r>
        <w:t xml:space="preserve"> </w:t>
      </w:r>
    </w:p>
    <w:p>
      <w:pPr>
        <w:spacing w:after="120"/>
        <w:rPr>
          <w:rFonts w:asciiTheme="minorHAnsi" w:eastAsia="Arial" w:hAnsiTheme="minorHAnsi" w:cstheme="minorHAnsi"/>
          <w:sz w:val="24"/>
          <w:szCs w:val="24"/>
        </w:rPr>
      </w:pPr>
      <w:r>
        <w:rPr>
          <w:rFonts w:asciiTheme="minorHAnsi" w:hAnsiTheme="minorHAnsi" w:cstheme="minorHAnsi"/>
          <w:b/>
          <w:sz w:val="24"/>
          <w:szCs w:val="24"/>
          <w:u w:val="single"/>
        </w:rPr>
        <w:t>Aware</w:t>
      </w:r>
      <w:r>
        <w:rPr>
          <w:rFonts w:asciiTheme="minorHAnsi" w:hAnsiTheme="minorHAnsi" w:cstheme="minorHAnsi"/>
          <w:b/>
          <w:sz w:val="24"/>
          <w:szCs w:val="24"/>
        </w:rPr>
        <w:t xml:space="preserve"> - Governors MUST:</w:t>
      </w:r>
    </w:p>
    <w:p>
      <w:pPr>
        <w:numPr>
          <w:ilvl w:val="0"/>
          <w:numId w:val="50"/>
        </w:numPr>
        <w:spacing w:after="0"/>
        <w:rPr>
          <w:rFonts w:asciiTheme="minorHAnsi" w:hAnsiTheme="minorHAnsi" w:cstheme="minorHAnsi"/>
        </w:rPr>
      </w:pPr>
      <w:r>
        <w:rPr>
          <w:rFonts w:asciiTheme="minorHAnsi" w:hAnsiTheme="minorHAnsi" w:cstheme="minorHAnsi"/>
        </w:rPr>
        <w:t>Read Keeping Children Safe in Education in its entirety.</w:t>
      </w:r>
    </w:p>
    <w:p>
      <w:pPr>
        <w:numPr>
          <w:ilvl w:val="0"/>
          <w:numId w:val="50"/>
        </w:numPr>
        <w:spacing w:after="0"/>
        <w:rPr>
          <w:rFonts w:asciiTheme="minorHAnsi" w:hAnsiTheme="minorHAnsi" w:cstheme="minorHAnsi"/>
        </w:rPr>
      </w:pPr>
      <w:r>
        <w:rPr>
          <w:rFonts w:asciiTheme="minorHAnsi" w:hAnsiTheme="minorHAnsi" w:cstheme="minorHAnsi"/>
        </w:rPr>
        <w:t>Be aware of its obligations under the Human Rights Act 1998, the Equality Act 2010 (including the Public Sector Equality Duty), and our school’s local multi-agency safeguarding arrangements.</w:t>
      </w:r>
    </w:p>
    <w:p>
      <w:pPr>
        <w:numPr>
          <w:ilvl w:val="0"/>
          <w:numId w:val="50"/>
        </w:numPr>
        <w:spacing w:after="0"/>
        <w:rPr>
          <w:rFonts w:asciiTheme="minorHAnsi" w:hAnsiTheme="minorHAnsi" w:cstheme="minorHAnsi"/>
        </w:rPr>
      </w:pPr>
      <w:r>
        <w:rPr>
          <w:rFonts w:asciiTheme="minorHAnsi" w:hAnsiTheme="minorHAnsi" w:cstheme="minorHAnsi"/>
        </w:rPr>
        <w:t>Facilitate a whole-school approach to safeguarding, ensuring that safeguarding and child protection are at the forefront of, and underpin, all relevant aspects of process and policy development.</w:t>
      </w:r>
    </w:p>
    <w:p>
      <w:pPr>
        <w:numPr>
          <w:ilvl w:val="0"/>
          <w:numId w:val="50"/>
        </w:numPr>
        <w:spacing w:after="240"/>
        <w:rPr>
          <w:rFonts w:asciiTheme="minorHAnsi" w:hAnsiTheme="minorHAnsi" w:cstheme="minorHAnsi"/>
        </w:rPr>
      </w:pPr>
      <w:r>
        <w:rPr>
          <w:rFonts w:asciiTheme="minorHAnsi" w:hAnsiTheme="minorHAnsi" w:cstheme="minorHAnsi"/>
        </w:rPr>
        <w:t>Evaluate and approve this policy at each review, ensuring it complies with the law, and hold the headteacher to account for its implementation.</w:t>
      </w:r>
    </w:p>
    <w:p>
      <w:pPr>
        <w:spacing w:before="120" w:after="0"/>
        <w:rPr>
          <w:rFonts w:asciiTheme="minorHAnsi" w:hAnsiTheme="minorHAnsi" w:cstheme="minorHAnsi"/>
          <w:sz w:val="24"/>
          <w:szCs w:val="24"/>
        </w:rPr>
      </w:pPr>
      <w:r>
        <w:rPr>
          <w:rFonts w:asciiTheme="minorHAnsi" w:hAnsiTheme="minorHAnsi" w:cstheme="minorHAnsi"/>
          <w:b/>
          <w:sz w:val="24"/>
          <w:szCs w:val="24"/>
          <w:u w:val="single"/>
        </w:rPr>
        <w:t>Competent</w:t>
      </w:r>
      <w:r>
        <w:rPr>
          <w:rFonts w:asciiTheme="minorHAnsi" w:hAnsiTheme="minorHAnsi" w:cstheme="minorHAnsi"/>
          <w:sz w:val="24"/>
          <w:szCs w:val="24"/>
        </w:rPr>
        <w:t xml:space="preserve"> </w:t>
      </w:r>
      <w:r>
        <w:rPr>
          <w:rFonts w:asciiTheme="minorHAnsi" w:hAnsiTheme="minorHAnsi" w:cstheme="minorHAnsi"/>
          <w:b/>
          <w:sz w:val="24"/>
          <w:szCs w:val="24"/>
        </w:rPr>
        <w:t>- Governors MUST:</w:t>
      </w:r>
    </w:p>
    <w:p>
      <w:pPr>
        <w:numPr>
          <w:ilvl w:val="0"/>
          <w:numId w:val="50"/>
        </w:numPr>
        <w:spacing w:before="120" w:after="0"/>
        <w:rPr>
          <w:rFonts w:asciiTheme="minorHAnsi" w:hAnsiTheme="minorHAnsi" w:cstheme="minorHAnsi"/>
        </w:rPr>
      </w:pPr>
      <w:r>
        <w:rPr>
          <w:rFonts w:asciiTheme="minorHAnsi" w:hAnsiTheme="minorHAnsi" w:cstheme="minorHAnsi"/>
        </w:rPr>
        <w:t>Appoint a nominated governor for safeguarding to monitor the effectiveness of this policy in conjunction with the full governing board. This is always a different person from the DSL.</w:t>
      </w:r>
    </w:p>
    <w:p>
      <w:pPr>
        <w:numPr>
          <w:ilvl w:val="0"/>
          <w:numId w:val="50"/>
        </w:numPr>
        <w:spacing w:after="0"/>
        <w:rPr>
          <w:rFonts w:asciiTheme="minorHAnsi" w:hAnsiTheme="minorHAnsi" w:cstheme="minorHAnsi"/>
        </w:rPr>
      </w:pPr>
      <w:r>
        <w:rPr>
          <w:rFonts w:asciiTheme="minorHAnsi" w:hAnsiTheme="minorHAnsi" w:cstheme="minorHAnsi"/>
        </w:rPr>
        <w:t>Ensure all staff undergo safeguarding and child protection training, including online safety, and that such training is regularly updated and is in line with advice from the safeguarding partners.</w:t>
      </w:r>
    </w:p>
    <w:p>
      <w:pPr>
        <w:numPr>
          <w:ilvl w:val="0"/>
          <w:numId w:val="50"/>
        </w:numPr>
        <w:spacing w:after="0"/>
        <w:rPr>
          <w:rFonts w:asciiTheme="minorHAnsi" w:hAnsiTheme="minorHAnsi" w:cstheme="minorHAnsi"/>
        </w:rPr>
      </w:pPr>
      <w:r>
        <w:rPr>
          <w:rFonts w:asciiTheme="minorHAnsi" w:hAnsiTheme="minorHAnsi" w:cstheme="minorHAnsi"/>
        </w:rPr>
        <w:t>Ensure that the DSL has the appropriate status and authority to carry out their job, including additional time, funding, training, resources and support.</w:t>
      </w:r>
    </w:p>
    <w:p>
      <w:pPr>
        <w:numPr>
          <w:ilvl w:val="0"/>
          <w:numId w:val="50"/>
        </w:numPr>
        <w:spacing w:after="240"/>
        <w:rPr>
          <w:rFonts w:asciiTheme="minorHAnsi" w:hAnsiTheme="minorHAnsi" w:cstheme="minorHAnsi"/>
        </w:rPr>
      </w:pPr>
      <w:r>
        <w:rPr>
          <w:rFonts w:asciiTheme="minorHAnsi" w:hAnsiTheme="minorHAnsi" w:cstheme="minorHAnsi"/>
        </w:rPr>
        <w:lastRenderedPageBreak/>
        <w:t>Ensure the DSL has lead authority for safeguarding, including online safety and understanding the filtering and monitoring systems and processes in place.</w:t>
      </w:r>
    </w:p>
    <w:p>
      <w:pPr>
        <w:spacing w:after="120"/>
        <w:rPr>
          <w:rFonts w:asciiTheme="minorHAnsi" w:hAnsiTheme="minorHAnsi" w:cstheme="minorHAnsi"/>
          <w:sz w:val="24"/>
          <w:szCs w:val="24"/>
        </w:rPr>
      </w:pPr>
      <w:r>
        <w:rPr>
          <w:rFonts w:asciiTheme="minorHAnsi" w:hAnsiTheme="minorHAnsi" w:cstheme="minorHAnsi"/>
          <w:b/>
          <w:sz w:val="24"/>
          <w:szCs w:val="24"/>
          <w:u w:val="single"/>
        </w:rPr>
        <w:t>Take Action:</w:t>
      </w:r>
      <w:r>
        <w:rPr>
          <w:rFonts w:asciiTheme="minorHAnsi" w:hAnsiTheme="minorHAnsi" w:cstheme="minorHAnsi"/>
          <w:b/>
          <w:sz w:val="24"/>
          <w:szCs w:val="24"/>
        </w:rPr>
        <w:t xml:space="preserve"> Governors MUST ensure that:</w:t>
      </w:r>
    </w:p>
    <w:p>
      <w:pPr>
        <w:numPr>
          <w:ilvl w:val="0"/>
          <w:numId w:val="50"/>
        </w:numPr>
        <w:spacing w:after="0"/>
        <w:rPr>
          <w:rFonts w:asciiTheme="minorHAnsi" w:hAnsiTheme="minorHAnsi" w:cstheme="minorHAnsi"/>
        </w:rPr>
      </w:pPr>
      <w:r>
        <w:rPr>
          <w:rFonts w:asciiTheme="minorHAnsi" w:hAnsiTheme="minorHAnsi" w:cstheme="minorHAnsi"/>
        </w:rPr>
        <w:t>Where another body is providing services or activities (regardless of whether or not the children who attend these services/activities are children on the school roll) they will:</w:t>
      </w:r>
    </w:p>
    <w:p>
      <w:pPr>
        <w:numPr>
          <w:ilvl w:val="1"/>
          <w:numId w:val="50"/>
        </w:numPr>
        <w:spacing w:after="0"/>
        <w:rPr>
          <w:rFonts w:asciiTheme="minorHAnsi" w:hAnsiTheme="minorHAnsi" w:cstheme="minorHAnsi"/>
        </w:rPr>
      </w:pPr>
      <w:r>
        <w:rPr>
          <w:rFonts w:asciiTheme="minorHAnsi" w:hAnsiTheme="minorHAnsi" w:cstheme="minorHAnsi"/>
        </w:rPr>
        <w:t>Seek assurance that the other body has appropriate safeguarding and child protection policies/procedures in place, and inspect them if needed</w:t>
      </w:r>
    </w:p>
    <w:p>
      <w:pPr>
        <w:numPr>
          <w:ilvl w:val="1"/>
          <w:numId w:val="50"/>
        </w:numPr>
        <w:spacing w:after="0"/>
        <w:rPr>
          <w:rFonts w:asciiTheme="minorHAnsi" w:hAnsiTheme="minorHAnsi" w:cstheme="minorHAnsi"/>
        </w:rPr>
      </w:pPr>
      <w:r>
        <w:rPr>
          <w:rFonts w:asciiTheme="minorHAnsi" w:hAnsiTheme="minorHAnsi" w:cstheme="minorHAnsi"/>
        </w:rPr>
        <w:t>Make sure there are arrangements for the body to liaise with the school about safeguarding arrangements, where appropriate</w:t>
      </w:r>
    </w:p>
    <w:p>
      <w:pPr>
        <w:numPr>
          <w:ilvl w:val="0"/>
          <w:numId w:val="50"/>
        </w:numPr>
        <w:spacing w:after="0"/>
        <w:rPr>
          <w:rFonts w:asciiTheme="minorHAnsi" w:hAnsiTheme="minorHAnsi" w:cstheme="minorHAnsi"/>
        </w:rPr>
      </w:pPr>
      <w:r>
        <w:rPr>
          <w:rFonts w:asciiTheme="minorHAnsi" w:hAnsiTheme="minorHAnsi" w:cstheme="minorHAnsi"/>
        </w:rPr>
        <w:t>Safeguarding requirements are a condition of using the school premises, and that any agreement to use the premises would be terminated if the other body fails to comply.</w:t>
      </w:r>
    </w:p>
    <w:p>
      <w:pPr>
        <w:numPr>
          <w:ilvl w:val="0"/>
          <w:numId w:val="50"/>
        </w:numPr>
        <w:spacing w:after="0"/>
        <w:rPr>
          <w:rFonts w:asciiTheme="minorHAnsi" w:hAnsiTheme="minorHAnsi" w:cstheme="minorHAnsi"/>
        </w:rPr>
      </w:pPr>
      <w:r>
        <w:rPr>
          <w:rFonts w:asciiTheme="minorHAnsi" w:hAnsiTheme="minorHAnsi" w:cstheme="minorHAnsi"/>
        </w:rPr>
        <w:t>The chair of governors will act as the ‘case manager’ in the event that an allegation of abuse is made against the headteacher, where appropriate (see appendix 3).</w:t>
      </w:r>
    </w:p>
    <w:p>
      <w:pPr>
        <w:numPr>
          <w:ilvl w:val="0"/>
          <w:numId w:val="50"/>
        </w:numPr>
        <w:spacing w:after="0"/>
        <w:rPr>
          <w:rFonts w:asciiTheme="minorHAnsi" w:hAnsiTheme="minorHAnsi" w:cstheme="minorHAnsi"/>
        </w:rPr>
      </w:pPr>
      <w:r>
        <w:rPr>
          <w:rFonts w:asciiTheme="minorHAnsi" w:hAnsiTheme="minorHAnsi" w:cstheme="minorHAnsi"/>
        </w:rPr>
        <w:t>The school has appropriate filtering and monitoring systems in place, and review their effectiveness. This includes:</w:t>
      </w:r>
    </w:p>
    <w:p>
      <w:pPr>
        <w:numPr>
          <w:ilvl w:val="1"/>
          <w:numId w:val="50"/>
        </w:numPr>
        <w:spacing w:after="0"/>
        <w:rPr>
          <w:rFonts w:asciiTheme="minorHAnsi" w:hAnsiTheme="minorHAnsi" w:cstheme="minorHAnsi"/>
        </w:rPr>
      </w:pPr>
      <w:r>
        <w:rPr>
          <w:rFonts w:asciiTheme="minorHAnsi" w:hAnsiTheme="minorHAnsi" w:cstheme="minorHAnsi"/>
        </w:rPr>
        <w:t>Making sure that the leadership team and staff are aware of the provisions in place, and that they understand their expectations, roles and responsibilities around filtering and monitoring as part of safeguarding training</w:t>
      </w:r>
    </w:p>
    <w:p>
      <w:pPr>
        <w:numPr>
          <w:ilvl w:val="1"/>
          <w:numId w:val="50"/>
        </w:numPr>
        <w:spacing w:after="0"/>
        <w:rPr>
          <w:rFonts w:asciiTheme="minorHAnsi" w:hAnsiTheme="minorHAnsi" w:cstheme="minorHAnsi"/>
        </w:rPr>
      </w:pPr>
      <w:r>
        <w:rPr>
          <w:rFonts w:asciiTheme="minorHAnsi" w:hAnsiTheme="minorHAnsi" w:cstheme="minorHAnsi"/>
        </w:rPr>
        <w:t>Reviewing the</w:t>
      </w:r>
      <w:hyperlink r:id="rId45">
        <w:r>
          <w:rPr>
            <w:rFonts w:asciiTheme="minorHAnsi" w:hAnsiTheme="minorHAnsi" w:cstheme="minorHAnsi"/>
          </w:rPr>
          <w:t xml:space="preserve"> </w:t>
        </w:r>
      </w:hyperlink>
      <w:hyperlink r:id="rId46">
        <w:r>
          <w:rPr>
            <w:rFonts w:asciiTheme="minorHAnsi" w:hAnsiTheme="minorHAnsi" w:cstheme="minorHAnsi"/>
            <w:color w:val="1155CC"/>
          </w:rPr>
          <w:t>DfE’s filtering and monitoring standards</w:t>
        </w:r>
      </w:hyperlink>
      <w:r>
        <w:rPr>
          <w:rFonts w:asciiTheme="minorHAnsi" w:hAnsiTheme="minorHAnsi" w:cstheme="minorHAnsi"/>
        </w:rPr>
        <w:t>, and discussing with IT staff and service providers what needs to be done to support the school in meeting these standards</w:t>
      </w:r>
    </w:p>
    <w:p>
      <w:pPr>
        <w:numPr>
          <w:ilvl w:val="0"/>
          <w:numId w:val="50"/>
        </w:numPr>
        <w:spacing w:after="0"/>
        <w:rPr>
          <w:rFonts w:asciiTheme="minorHAnsi" w:hAnsiTheme="minorHAnsi" w:cstheme="minorHAnsi"/>
        </w:rPr>
      </w:pPr>
      <w:r>
        <w:rPr>
          <w:rFonts w:asciiTheme="minorHAnsi" w:hAnsiTheme="minorHAnsi" w:cstheme="minorHAnsi"/>
        </w:rPr>
        <w:t>Online safety is a running and interrelated theme within the whole-school approach to safeguarding and related policies.</w:t>
      </w:r>
    </w:p>
    <w:p>
      <w:pPr>
        <w:numPr>
          <w:ilvl w:val="0"/>
          <w:numId w:val="50"/>
        </w:numPr>
        <w:spacing w:after="0"/>
        <w:rPr>
          <w:rFonts w:asciiTheme="minorHAnsi" w:hAnsiTheme="minorHAnsi" w:cstheme="minorHAnsi"/>
        </w:rPr>
      </w:pPr>
      <w:r>
        <w:rPr>
          <w:rFonts w:asciiTheme="minorHAnsi" w:hAnsiTheme="minorHAnsi" w:cstheme="minorHAnsi"/>
        </w:rPr>
        <w:t>The school has procedures to manage any safeguarding concerns (no matter how small) or allegations that do not meet the harm threshold (low-level concerns) about staff members (including supply staff, volunteers and contractors). Appendix 3 of this policy covers this procedure.</w:t>
      </w:r>
    </w:p>
    <w:p>
      <w:pPr>
        <w:numPr>
          <w:ilvl w:val="0"/>
          <w:numId w:val="50"/>
        </w:numPr>
        <w:spacing w:after="240"/>
        <w:rPr>
          <w:rFonts w:asciiTheme="minorHAnsi" w:hAnsiTheme="minorHAnsi" w:cstheme="minorHAnsi"/>
        </w:rPr>
      </w:pPr>
      <w:r>
        <w:rPr>
          <w:rFonts w:asciiTheme="minorHAnsi" w:hAnsiTheme="minorHAnsi" w:cstheme="minorHAnsi"/>
        </w:rPr>
        <w:t>That this policy reflects that children with SEND, or certain medical or physical health conditions, can face additional barriers to any abuse or neglect being recognized.</w:t>
      </w:r>
      <w:r>
        <w:rPr>
          <w:rFonts w:asciiTheme="minorHAnsi" w:hAnsiTheme="minorHAnsi" w:cstheme="minorHAnsi"/>
        </w:rPr>
        <w:tab/>
      </w:r>
    </w:p>
    <w:p>
      <w:pPr>
        <w:pStyle w:val="Heading3"/>
        <w:rPr>
          <w:color w:val="FF0000"/>
        </w:rPr>
      </w:pPr>
      <w:bookmarkStart w:id="24" w:name="_heading=h.x4esmc786p6b" w:colFirst="0" w:colLast="0"/>
      <w:bookmarkStart w:id="25" w:name="_Toc172030597"/>
      <w:bookmarkEnd w:id="24"/>
      <w:r>
        <w:t>8.4 The Headteacher</w:t>
      </w:r>
      <w:bookmarkEnd w:id="25"/>
    </w:p>
    <w:p>
      <w:pPr>
        <w:spacing w:after="120"/>
        <w:rPr>
          <w:rFonts w:asciiTheme="minorHAnsi" w:hAnsiTheme="minorHAnsi" w:cstheme="minorHAnsi"/>
          <w:b/>
          <w:sz w:val="24"/>
          <w:szCs w:val="24"/>
        </w:rPr>
      </w:pPr>
      <w:r>
        <w:rPr>
          <w:rFonts w:asciiTheme="minorHAnsi" w:hAnsiTheme="minorHAnsi" w:cstheme="minorHAnsi"/>
          <w:b/>
          <w:sz w:val="24"/>
          <w:szCs w:val="24"/>
          <w:u w:val="single"/>
        </w:rPr>
        <w:t xml:space="preserve">Aware </w:t>
      </w:r>
      <w:r>
        <w:rPr>
          <w:rFonts w:asciiTheme="minorHAnsi" w:hAnsiTheme="minorHAnsi" w:cstheme="minorHAnsi"/>
          <w:b/>
          <w:sz w:val="24"/>
          <w:szCs w:val="24"/>
        </w:rPr>
        <w:t>- The Headteacher MUST:</w:t>
      </w:r>
    </w:p>
    <w:p>
      <w:pPr>
        <w:numPr>
          <w:ilvl w:val="0"/>
          <w:numId w:val="33"/>
        </w:numPr>
        <w:spacing w:after="0"/>
        <w:rPr>
          <w:rFonts w:asciiTheme="minorHAnsi" w:hAnsiTheme="minorHAnsi" w:cstheme="minorHAnsi"/>
        </w:rPr>
      </w:pPr>
      <w:r>
        <w:rPr>
          <w:rFonts w:asciiTheme="minorHAnsi" w:hAnsiTheme="minorHAnsi" w:cstheme="minorHAnsi"/>
        </w:rPr>
        <w:t>Ensure that staff (including temporary staff) and volunteers:</w:t>
      </w:r>
    </w:p>
    <w:p>
      <w:pPr>
        <w:numPr>
          <w:ilvl w:val="1"/>
          <w:numId w:val="33"/>
        </w:numPr>
        <w:spacing w:after="0"/>
        <w:rPr>
          <w:rFonts w:asciiTheme="minorHAnsi" w:hAnsiTheme="minorHAnsi" w:cstheme="minorHAnsi"/>
        </w:rPr>
      </w:pPr>
      <w:r>
        <w:rPr>
          <w:rFonts w:asciiTheme="minorHAnsi" w:eastAsia="Times New Roman" w:hAnsiTheme="minorHAnsi" w:cstheme="minorHAnsi"/>
        </w:rPr>
        <w:t xml:space="preserve"> </w:t>
      </w:r>
      <w:r>
        <w:rPr>
          <w:rFonts w:asciiTheme="minorHAnsi" w:hAnsiTheme="minorHAnsi" w:cstheme="minorHAnsi"/>
        </w:rPr>
        <w:t>Are informed of our systems that support safeguarding, including this policy, as part of their induction</w:t>
      </w:r>
    </w:p>
    <w:p>
      <w:pPr>
        <w:numPr>
          <w:ilvl w:val="1"/>
          <w:numId w:val="33"/>
        </w:numPr>
        <w:spacing w:after="0"/>
        <w:rPr>
          <w:rFonts w:asciiTheme="minorHAnsi" w:hAnsiTheme="minorHAnsi" w:cstheme="minorHAnsi"/>
        </w:rPr>
      </w:pPr>
      <w:r>
        <w:rPr>
          <w:rFonts w:asciiTheme="minorHAnsi" w:hAnsiTheme="minorHAnsi" w:cstheme="minorHAnsi"/>
        </w:rPr>
        <w:t>Understand and follow the procedures included in this policy</w:t>
      </w:r>
    </w:p>
    <w:p>
      <w:pPr>
        <w:numPr>
          <w:ilvl w:val="0"/>
          <w:numId w:val="33"/>
        </w:numPr>
        <w:spacing w:after="0"/>
        <w:rPr>
          <w:rFonts w:asciiTheme="minorHAnsi" w:hAnsiTheme="minorHAnsi" w:cstheme="minorHAnsi"/>
        </w:rPr>
      </w:pPr>
      <w:r>
        <w:rPr>
          <w:rFonts w:asciiTheme="minorHAnsi" w:hAnsiTheme="minorHAnsi" w:cstheme="minorHAnsi"/>
        </w:rPr>
        <w:t>Communicates this policy to parents/</w:t>
      </w:r>
      <w:proofErr w:type="spellStart"/>
      <w:r>
        <w:rPr>
          <w:rFonts w:asciiTheme="minorHAnsi" w:hAnsiTheme="minorHAnsi" w:cstheme="minorHAnsi"/>
        </w:rPr>
        <w:t>carers</w:t>
      </w:r>
      <w:proofErr w:type="spellEnd"/>
      <w:r>
        <w:rPr>
          <w:rFonts w:asciiTheme="minorHAnsi" w:hAnsiTheme="minorHAnsi" w:cstheme="minorHAnsi"/>
        </w:rPr>
        <w:t xml:space="preserve"> when their child joins the school and via the school website.</w:t>
      </w:r>
    </w:p>
    <w:p>
      <w:pPr>
        <w:spacing w:before="120" w:after="0"/>
        <w:rPr>
          <w:rFonts w:asciiTheme="minorHAnsi" w:hAnsiTheme="minorHAnsi" w:cstheme="minorHAnsi"/>
          <w:b/>
          <w:sz w:val="24"/>
          <w:szCs w:val="24"/>
        </w:rPr>
      </w:pPr>
      <w:r>
        <w:rPr>
          <w:rFonts w:asciiTheme="minorHAnsi" w:hAnsiTheme="minorHAnsi" w:cstheme="minorHAnsi"/>
          <w:b/>
          <w:sz w:val="24"/>
          <w:szCs w:val="24"/>
          <w:u w:val="single"/>
        </w:rPr>
        <w:t>Competent</w:t>
      </w:r>
      <w:r>
        <w:rPr>
          <w:rFonts w:asciiTheme="minorHAnsi" w:hAnsiTheme="minorHAnsi" w:cstheme="minorHAnsi"/>
          <w:b/>
          <w:sz w:val="24"/>
          <w:szCs w:val="24"/>
        </w:rPr>
        <w:t xml:space="preserve"> - The Headteacher is responsible for:</w:t>
      </w:r>
    </w:p>
    <w:p>
      <w:pPr>
        <w:numPr>
          <w:ilvl w:val="0"/>
          <w:numId w:val="1"/>
        </w:numPr>
        <w:spacing w:before="120" w:after="0" w:line="240" w:lineRule="auto"/>
        <w:ind w:left="714" w:hanging="357"/>
        <w:rPr>
          <w:rFonts w:asciiTheme="minorHAnsi" w:hAnsiTheme="minorHAnsi" w:cstheme="minorHAnsi"/>
        </w:rPr>
      </w:pPr>
      <w:r>
        <w:rPr>
          <w:rFonts w:asciiTheme="minorHAnsi" w:hAnsiTheme="minorHAnsi" w:cstheme="minorHAnsi"/>
        </w:rPr>
        <w:t>The implementation of this policy is followed by all staff.</w:t>
      </w:r>
    </w:p>
    <w:p>
      <w:pPr>
        <w:numPr>
          <w:ilvl w:val="0"/>
          <w:numId w:val="1"/>
        </w:numPr>
        <w:spacing w:after="0" w:line="240" w:lineRule="auto"/>
        <w:ind w:left="714" w:hanging="357"/>
        <w:rPr>
          <w:rFonts w:asciiTheme="minorHAnsi" w:hAnsiTheme="minorHAnsi" w:cstheme="minorHAnsi"/>
        </w:rPr>
      </w:pPr>
      <w:r>
        <w:rPr>
          <w:rFonts w:asciiTheme="minorHAnsi" w:hAnsiTheme="minorHAnsi" w:cstheme="minorHAnsi"/>
        </w:rPr>
        <w:t>Allocating sufficient time, training, support and resources, including cover arrangements when necessary, to enable the DSL and deputy to carry out their roles effectively, including the assessment of pupils and attendance at strategy discussions and other necessary meetings.</w:t>
      </w:r>
    </w:p>
    <w:p>
      <w:pPr>
        <w:numPr>
          <w:ilvl w:val="0"/>
          <w:numId w:val="1"/>
        </w:numPr>
        <w:spacing w:after="0" w:line="240" w:lineRule="auto"/>
        <w:ind w:left="714" w:hanging="357"/>
        <w:rPr>
          <w:rFonts w:asciiTheme="minorHAnsi" w:hAnsiTheme="minorHAnsi" w:cstheme="minorHAnsi"/>
        </w:rPr>
      </w:pPr>
      <w:r>
        <w:rPr>
          <w:rFonts w:asciiTheme="minorHAnsi" w:hAnsiTheme="minorHAnsi" w:cstheme="minorHAnsi"/>
        </w:rPr>
        <w:t>Ensuring that all staff feel able to raise concerns about poor or unsafe practices and that such concerns are handled sensitively and in accordance with the whistle blowing procedures.</w:t>
      </w:r>
    </w:p>
    <w:p>
      <w:pPr>
        <w:numPr>
          <w:ilvl w:val="0"/>
          <w:numId w:val="1"/>
        </w:numPr>
        <w:spacing w:after="0" w:line="240" w:lineRule="auto"/>
        <w:ind w:left="714" w:hanging="357"/>
        <w:rPr>
          <w:rFonts w:asciiTheme="minorHAnsi" w:hAnsiTheme="minorHAnsi" w:cstheme="minorHAnsi"/>
        </w:rPr>
      </w:pPr>
      <w:r>
        <w:rPr>
          <w:rFonts w:asciiTheme="minorHAnsi" w:hAnsiTheme="minorHAnsi" w:cstheme="minorHAnsi"/>
        </w:rPr>
        <w:t>Ensuring that pupils are provided with opportunities throughout the curriculum to learn about safeguarding, including keeping themselves safe online.</w:t>
      </w:r>
    </w:p>
    <w:p>
      <w:pPr>
        <w:numPr>
          <w:ilvl w:val="0"/>
          <w:numId w:val="1"/>
        </w:numPr>
        <w:spacing w:after="240" w:line="240" w:lineRule="auto"/>
        <w:ind w:left="714" w:hanging="357"/>
        <w:rPr>
          <w:rFonts w:asciiTheme="minorHAnsi" w:hAnsiTheme="minorHAnsi" w:cstheme="minorHAnsi"/>
        </w:rPr>
      </w:pPr>
      <w:r>
        <w:rPr>
          <w:rFonts w:asciiTheme="minorHAnsi" w:hAnsiTheme="minorHAnsi" w:cstheme="minorHAnsi"/>
        </w:rPr>
        <w:t>Ensuring that school leaders and governors take into account a child’s wishes when determining action to be taken or services to be provided.</w:t>
      </w:r>
    </w:p>
    <w:p>
      <w:pPr>
        <w:spacing w:after="0"/>
        <w:rPr>
          <w:rFonts w:asciiTheme="minorHAnsi" w:hAnsiTheme="minorHAnsi" w:cstheme="minorHAnsi"/>
          <w:sz w:val="24"/>
          <w:szCs w:val="24"/>
          <w:highlight w:val="green"/>
        </w:rPr>
      </w:pPr>
      <w:r>
        <w:rPr>
          <w:rFonts w:asciiTheme="minorHAnsi" w:hAnsiTheme="minorHAnsi" w:cstheme="minorHAnsi"/>
          <w:b/>
          <w:sz w:val="24"/>
          <w:szCs w:val="24"/>
        </w:rPr>
        <w:t>Take Action - The Headteacher MUST:</w:t>
      </w:r>
    </w:p>
    <w:p>
      <w:pPr>
        <w:numPr>
          <w:ilvl w:val="0"/>
          <w:numId w:val="38"/>
        </w:numPr>
        <w:spacing w:after="0" w:line="240" w:lineRule="auto"/>
        <w:ind w:left="714" w:hanging="357"/>
        <w:rPr>
          <w:rFonts w:asciiTheme="minorHAnsi" w:hAnsiTheme="minorHAnsi" w:cstheme="minorHAnsi"/>
        </w:rPr>
      </w:pPr>
      <w:r>
        <w:rPr>
          <w:rFonts w:asciiTheme="minorHAnsi" w:hAnsiTheme="minorHAnsi" w:cstheme="minorHAnsi"/>
        </w:rPr>
        <w:lastRenderedPageBreak/>
        <w:t>Make decisions regarding all low-level concerns, though they may wish to collaborate with the DSL on this</w:t>
      </w:r>
      <w:r>
        <w:rPr>
          <w:rFonts w:asciiTheme="minorHAnsi" w:eastAsia="Times New Roman" w:hAnsiTheme="minorHAnsi" w:cstheme="minorHAnsi"/>
          <w:color w:val="FF0000"/>
        </w:rPr>
        <w:t xml:space="preserve"> </w:t>
      </w:r>
    </w:p>
    <w:p>
      <w:pPr>
        <w:numPr>
          <w:ilvl w:val="0"/>
          <w:numId w:val="38"/>
        </w:numPr>
        <w:spacing w:after="0" w:line="240" w:lineRule="auto"/>
        <w:ind w:left="714" w:hanging="357"/>
        <w:rPr>
          <w:rFonts w:asciiTheme="minorHAnsi" w:hAnsiTheme="minorHAnsi" w:cstheme="minorHAnsi"/>
        </w:rPr>
      </w:pPr>
      <w:r>
        <w:rPr>
          <w:rFonts w:asciiTheme="minorHAnsi" w:hAnsiTheme="minorHAnsi" w:cstheme="minorHAnsi"/>
        </w:rPr>
        <w:t>Ensure the relevant staffing ratios are met, where applicable and appropriate risk assessments are carried out.</w:t>
      </w:r>
    </w:p>
    <w:p>
      <w:pPr>
        <w:numPr>
          <w:ilvl w:val="0"/>
          <w:numId w:val="38"/>
        </w:numPr>
        <w:spacing w:after="0" w:line="240" w:lineRule="auto"/>
        <w:ind w:left="714" w:hanging="357"/>
        <w:rPr>
          <w:rFonts w:asciiTheme="minorHAnsi" w:hAnsiTheme="minorHAnsi" w:cstheme="minorHAnsi"/>
        </w:rPr>
      </w:pPr>
      <w:r>
        <w:rPr>
          <w:rFonts w:asciiTheme="minorHAnsi" w:hAnsiTheme="minorHAnsi" w:cstheme="minorHAnsi"/>
        </w:rPr>
        <w:t>Ensure that allegations or concerns against staff are dealt with in accordance with guidance from the DfE and liaise with the designated officer or team in the local authority where an allegation is made against a member of staff</w:t>
      </w:r>
      <w:r>
        <w:rPr>
          <w:rFonts w:asciiTheme="minorHAnsi" w:eastAsia="Times New Roman" w:hAnsiTheme="minorHAnsi" w:cstheme="minorHAnsi"/>
        </w:rPr>
        <w:t xml:space="preserve"> </w:t>
      </w:r>
      <w:r>
        <w:rPr>
          <w:rFonts w:asciiTheme="minorHAnsi" w:hAnsiTheme="minorHAnsi" w:cstheme="minorHAnsi"/>
        </w:rPr>
        <w:t>(see Appendix 3 p.52)</w:t>
      </w:r>
    </w:p>
    <w:p>
      <w:pPr>
        <w:numPr>
          <w:ilvl w:val="0"/>
          <w:numId w:val="38"/>
        </w:numPr>
        <w:spacing w:after="0" w:line="240" w:lineRule="auto"/>
        <w:ind w:left="714" w:hanging="357"/>
        <w:rPr>
          <w:rFonts w:asciiTheme="minorHAnsi" w:hAnsiTheme="minorHAnsi" w:cstheme="minorHAnsi"/>
        </w:rPr>
      </w:pPr>
      <w:r>
        <w:rPr>
          <w:rFonts w:asciiTheme="minorHAnsi" w:hAnsiTheme="minorHAnsi" w:cstheme="minorHAnsi"/>
        </w:rPr>
        <w:t>Ensure that anyone who has harmed or may pose a risk to a child is referred to the Disclosure and Barring Service.</w:t>
      </w:r>
    </w:p>
    <w:p>
      <w:pPr>
        <w:pStyle w:val="Heading3"/>
        <w:rPr>
          <w:sz w:val="40"/>
          <w:szCs w:val="46"/>
        </w:rPr>
      </w:pPr>
      <w:bookmarkStart w:id="26" w:name="_heading=h.ul8exyfot45s" w:colFirst="0" w:colLast="0"/>
      <w:bookmarkStart w:id="27" w:name="_Toc172030598"/>
      <w:bookmarkEnd w:id="26"/>
      <w:r>
        <w:t>8.5 Visitors including Contractors</w:t>
      </w:r>
      <w:bookmarkEnd w:id="27"/>
    </w:p>
    <w:p>
      <w:pPr>
        <w:numPr>
          <w:ilvl w:val="0"/>
          <w:numId w:val="31"/>
        </w:numPr>
        <w:spacing w:after="0" w:line="240" w:lineRule="auto"/>
        <w:rPr>
          <w:rFonts w:asciiTheme="minorHAnsi" w:hAnsiTheme="minorHAnsi" w:cstheme="minorHAnsi"/>
          <w:szCs w:val="20"/>
        </w:rPr>
      </w:pPr>
      <w:r>
        <w:rPr>
          <w:rFonts w:asciiTheme="minorHAnsi" w:hAnsiTheme="minorHAnsi" w:cstheme="minorHAnsi"/>
          <w:szCs w:val="20"/>
        </w:rPr>
        <w:t xml:space="preserve">Visitors to the school, including contractors, are asked to sign in and are given a badge which confirms they have permission to be on site </w:t>
      </w:r>
    </w:p>
    <w:p>
      <w:pPr>
        <w:numPr>
          <w:ilvl w:val="0"/>
          <w:numId w:val="31"/>
        </w:numPr>
        <w:spacing w:after="0" w:line="240" w:lineRule="auto"/>
        <w:rPr>
          <w:rFonts w:asciiTheme="minorHAnsi" w:hAnsiTheme="minorHAnsi" w:cstheme="minorHAnsi"/>
          <w:szCs w:val="20"/>
        </w:rPr>
      </w:pPr>
      <w:r>
        <w:rPr>
          <w:rFonts w:asciiTheme="minorHAnsi" w:hAnsiTheme="minorHAnsi" w:cstheme="minorHAnsi"/>
          <w:szCs w:val="20"/>
        </w:rPr>
        <w:t>All visitors will be given a Safeguarding Booklet which provides details of key safeguarding messages.</w:t>
      </w:r>
    </w:p>
    <w:p>
      <w:pPr>
        <w:numPr>
          <w:ilvl w:val="0"/>
          <w:numId w:val="31"/>
        </w:numPr>
        <w:spacing w:after="0" w:line="240" w:lineRule="auto"/>
        <w:rPr>
          <w:rFonts w:asciiTheme="minorHAnsi" w:hAnsiTheme="minorHAnsi" w:cstheme="minorHAnsi"/>
          <w:szCs w:val="20"/>
        </w:rPr>
      </w:pPr>
      <w:r>
        <w:rPr>
          <w:rFonts w:asciiTheme="minorHAnsi" w:hAnsiTheme="minorHAnsi" w:cstheme="minorHAnsi"/>
          <w:szCs w:val="20"/>
        </w:rPr>
        <w:t xml:space="preserve">Parents who are simply delivering or collecting their children do not need to sign in. </w:t>
      </w:r>
    </w:p>
    <w:p>
      <w:pPr>
        <w:numPr>
          <w:ilvl w:val="0"/>
          <w:numId w:val="31"/>
        </w:numPr>
        <w:spacing w:after="0" w:line="240" w:lineRule="auto"/>
        <w:rPr>
          <w:rFonts w:asciiTheme="minorHAnsi" w:hAnsiTheme="minorHAnsi" w:cstheme="minorHAnsi"/>
          <w:szCs w:val="20"/>
        </w:rPr>
      </w:pPr>
      <w:r>
        <w:rPr>
          <w:rFonts w:asciiTheme="minorHAnsi" w:hAnsiTheme="minorHAnsi" w:cstheme="minorHAnsi"/>
          <w:szCs w:val="20"/>
        </w:rPr>
        <w:t xml:space="preserve">All visitors are expected to observe the school’s safeguarding and health and safety regulations to ensure children in school are kept safe. </w:t>
      </w:r>
    </w:p>
    <w:p>
      <w:pPr>
        <w:pStyle w:val="Heading3"/>
        <w:spacing w:before="360"/>
      </w:pPr>
      <w:bookmarkStart w:id="28" w:name="_heading=h.jtuxbrbpm6ov" w:colFirst="0" w:colLast="0"/>
      <w:bookmarkStart w:id="29" w:name="_Toc172030599"/>
      <w:bookmarkEnd w:id="28"/>
      <w:r>
        <w:t>8.6. Extended school and off-site arrangements</w:t>
      </w:r>
      <w:bookmarkEnd w:id="29"/>
    </w:p>
    <w:p>
      <w:pPr>
        <w:spacing w:after="0" w:line="240" w:lineRule="auto"/>
      </w:pPr>
      <w:r>
        <w:t xml:space="preserve">All extended and off-site activities are subject to a risk assessment to satisfy health and safety and safeguarding requirements. </w:t>
      </w:r>
    </w:p>
    <w:p>
      <w:pPr>
        <w:spacing w:after="0" w:line="240" w:lineRule="auto"/>
      </w:pPr>
    </w:p>
    <w:p>
      <w:pPr>
        <w:spacing w:after="0" w:line="240" w:lineRule="auto"/>
      </w:pPr>
      <w:r>
        <w:t xml:space="preserve">Any allegation relating to an incident that happened when an individual or </w:t>
      </w:r>
      <w:proofErr w:type="spellStart"/>
      <w:r>
        <w:t>organisation</w:t>
      </w:r>
      <w:proofErr w:type="spellEnd"/>
      <w:r>
        <w:t xml:space="preserve"> using our premises for the purpose of running activities for children (for example community groups, sports associations, or service providers that run extra-curricular activities) will be followed up by the DSL/DDSL in line with our safeguarding procedures, including informing the LADO.  If other </w:t>
      </w:r>
      <w:proofErr w:type="spellStart"/>
      <w:r>
        <w:t>organisations</w:t>
      </w:r>
      <w:proofErr w:type="spellEnd"/>
      <w:r>
        <w:t xml:space="preserve"> provide services or activities on our site we will check that they have appropriate procedures in place, including safer recruitment procedures and that the requirements of Keeping Children Safe in out-of-school settings are met by the provider.  </w:t>
      </w:r>
    </w:p>
    <w:p>
      <w:pPr>
        <w:spacing w:after="0" w:line="240" w:lineRule="auto"/>
      </w:pPr>
    </w:p>
    <w:p>
      <w:pPr>
        <w:spacing w:after="0" w:line="240" w:lineRule="auto"/>
      </w:pPr>
      <w:r>
        <w:t>When our pupils attend off-site activities, including day and residential visits and work related activities, we will check that effective child protection arrangements are in place.</w:t>
      </w:r>
    </w:p>
    <w:p>
      <w:pPr>
        <w:spacing w:before="240" w:after="240"/>
      </w:pPr>
      <w:hyperlink r:id="rId47">
        <w:r>
          <w:rPr>
            <w:color w:val="1155CC"/>
            <w:u w:val="single"/>
          </w:rPr>
          <w:t>https://www.gov.uk/government/publications/keeping-children-safe-in-out-of-school-settings-code-of-practice/keeping-children-safe-during-community-activities-after-school-clubs-and-tuition-non-statutory-guidance-for-providers-running-out-of-school-settings</w:t>
        </w:r>
      </w:hyperlink>
      <w:r>
        <w:t xml:space="preserve"> </w:t>
      </w:r>
    </w:p>
    <w:p>
      <w:pPr>
        <w:pStyle w:val="Heading3"/>
        <w:spacing w:before="360"/>
      </w:pPr>
      <w:bookmarkStart w:id="30" w:name="_Toc172030600"/>
      <w:r>
        <w:t>8.7 Transporting pupils</w:t>
      </w:r>
      <w:bookmarkEnd w:id="30"/>
    </w:p>
    <w:p>
      <w:pPr>
        <w:spacing w:after="0"/>
      </w:pPr>
      <w:r>
        <w:t>We will follow the home-school transport policy from SCC for all pupils who have regular transport to and from school arranged through the needs identified in their EHCP, or admission agreement.</w:t>
      </w:r>
    </w:p>
    <w:p>
      <w:pPr>
        <w:spacing w:after="0"/>
      </w:pPr>
      <w:r>
        <w:t>The school will give consideration to the transport needs of our pupils in an emergency situation and out of hours.</w:t>
      </w:r>
    </w:p>
    <w:p>
      <w:pPr>
        <w:spacing w:after="0"/>
        <w:rPr>
          <w:color w:val="00B050"/>
        </w:rPr>
      </w:pPr>
    </w:p>
    <w:p>
      <w:pPr>
        <w:spacing w:after="0"/>
      </w:pPr>
      <w:r>
        <w:t>Safeguarding the needs of our pupils when travelling in school owned / private hire minibus or coaches / taxis with staff or parents as drivers in cars. This will include arrangements for parents/</w:t>
      </w:r>
      <w:proofErr w:type="spellStart"/>
      <w:r>
        <w:t>carers</w:t>
      </w:r>
      <w:proofErr w:type="spellEnd"/>
      <w:r>
        <w:t>/volunteers to inform the school regarding any advice they have been issued, including COVID-19 linked ongoing symptoms as soon as possible that affects their ability to carry out their transporting/ volunteering safely in line with current guidance.</w:t>
      </w:r>
    </w:p>
    <w:p>
      <w:pPr>
        <w:spacing w:after="0"/>
        <w:rPr>
          <w:color w:val="00B050"/>
        </w:rPr>
      </w:pPr>
    </w:p>
    <w:p>
      <w:pPr>
        <w:spacing w:after="0"/>
      </w:pPr>
      <w:r>
        <w:t>For school trips private providers may be used such as coach companies. Copies of any insurance will be obtained by the school and retained with trip documentation.</w:t>
      </w:r>
    </w:p>
    <w:p>
      <w:pPr>
        <w:spacing w:after="0"/>
        <w:rPr>
          <w:color w:val="00B050"/>
        </w:rPr>
      </w:pPr>
    </w:p>
    <w:p>
      <w:pPr>
        <w:spacing w:after="0"/>
      </w:pPr>
      <w:r>
        <w:t>On occasions parents and volunteers support with the task of transporting children to visits and off-site activities arranged by the school; this is in addition to any informal arrangements made directly between parents for after school clubs etc.</w:t>
      </w:r>
    </w:p>
    <w:p>
      <w:pPr>
        <w:pStyle w:val="Heading2"/>
        <w:rPr>
          <w:sz w:val="32"/>
        </w:rPr>
      </w:pPr>
      <w:bookmarkStart w:id="31" w:name="_heading=h.o26xrfpzarpj" w:colFirst="0" w:colLast="0"/>
      <w:bookmarkStart w:id="32" w:name="_Toc172030601"/>
      <w:bookmarkEnd w:id="31"/>
      <w:r>
        <w:rPr>
          <w:sz w:val="32"/>
        </w:rPr>
        <w:t>9. Equality Statement</w:t>
      </w:r>
      <w:bookmarkEnd w:id="32"/>
    </w:p>
    <w:p>
      <w:pPr>
        <w:spacing w:before="120" w:after="120"/>
      </w:pPr>
      <w:r>
        <w:t xml:space="preserve">Some children have an increased risk of abuse, both online and offline, and additional barriers can exist for some children with respect to </w:t>
      </w:r>
      <w:proofErr w:type="spellStart"/>
      <w:r>
        <w:t>recognising</w:t>
      </w:r>
      <w:proofErr w:type="spellEnd"/>
      <w:r>
        <w:t xml:space="preserve"> or disclosing it. We are committed to anti-discriminatory practice and </w:t>
      </w:r>
      <w:proofErr w:type="spellStart"/>
      <w:r>
        <w:t>recognise</w:t>
      </w:r>
      <w:proofErr w:type="spellEnd"/>
      <w:r>
        <w:t xml:space="preserve"> children’s diverse circumstances. We ensure that all children have the same protection, regardless of any barriers they may face.</w:t>
      </w:r>
    </w:p>
    <w:p>
      <w:pPr>
        <w:spacing w:after="0"/>
      </w:pPr>
      <w:r>
        <w:t>We give special consideration to children who:</w:t>
      </w:r>
    </w:p>
    <w:p>
      <w:pPr>
        <w:pStyle w:val="ListParagraph"/>
        <w:numPr>
          <w:ilvl w:val="0"/>
          <w:numId w:val="52"/>
        </w:numPr>
        <w:spacing w:after="0"/>
      </w:pPr>
      <w:r>
        <w:t>Have special educational needs and/or disabilities (SEND) or health conditions (see section 16)</w:t>
      </w:r>
    </w:p>
    <w:p>
      <w:pPr>
        <w:pStyle w:val="ListParagraph"/>
        <w:numPr>
          <w:ilvl w:val="0"/>
          <w:numId w:val="52"/>
        </w:numPr>
        <w:spacing w:after="0"/>
      </w:pPr>
      <w:r>
        <w:t xml:space="preserve">Are young </w:t>
      </w:r>
      <w:proofErr w:type="spellStart"/>
      <w:r>
        <w:t>carers</w:t>
      </w:r>
      <w:proofErr w:type="spellEnd"/>
    </w:p>
    <w:p>
      <w:pPr>
        <w:pStyle w:val="ListParagraph"/>
        <w:numPr>
          <w:ilvl w:val="0"/>
          <w:numId w:val="52"/>
        </w:numPr>
        <w:spacing w:after="0"/>
      </w:pPr>
      <w:r>
        <w:t xml:space="preserve">May experience discrimination due to their race, ethnicity, religion, gender identification or sexuality </w:t>
      </w:r>
    </w:p>
    <w:p>
      <w:pPr>
        <w:pStyle w:val="ListParagraph"/>
        <w:numPr>
          <w:ilvl w:val="0"/>
          <w:numId w:val="52"/>
        </w:numPr>
        <w:spacing w:after="0"/>
      </w:pPr>
      <w:r>
        <w:t>Have English as an additional language (EAL)</w:t>
      </w:r>
    </w:p>
    <w:p>
      <w:pPr>
        <w:pStyle w:val="ListParagraph"/>
        <w:numPr>
          <w:ilvl w:val="0"/>
          <w:numId w:val="52"/>
        </w:numPr>
        <w:spacing w:after="0"/>
      </w:pPr>
      <w:r>
        <w:t xml:space="preserve">Are known to be living in difficult situations – for example, temporary accommodation or where there are issues such as substance abuse or domestic violence </w:t>
      </w:r>
    </w:p>
    <w:p>
      <w:pPr>
        <w:pStyle w:val="ListParagraph"/>
        <w:numPr>
          <w:ilvl w:val="0"/>
          <w:numId w:val="52"/>
        </w:numPr>
        <w:spacing w:after="0"/>
      </w:pPr>
      <w:r>
        <w:t xml:space="preserve">Are at risk of female genital mutilation (FGM), sexual exploitation, forced marriage, or </w:t>
      </w:r>
      <w:proofErr w:type="spellStart"/>
      <w:r>
        <w:t>radicalisation</w:t>
      </w:r>
      <w:proofErr w:type="spellEnd"/>
    </w:p>
    <w:p>
      <w:pPr>
        <w:pStyle w:val="ListParagraph"/>
        <w:numPr>
          <w:ilvl w:val="0"/>
          <w:numId w:val="52"/>
        </w:numPr>
        <w:spacing w:after="0"/>
      </w:pPr>
      <w:r>
        <w:t>Are asylum seekers/refugees</w:t>
      </w:r>
    </w:p>
    <w:p>
      <w:pPr>
        <w:pStyle w:val="ListParagraph"/>
        <w:numPr>
          <w:ilvl w:val="0"/>
          <w:numId w:val="52"/>
        </w:numPr>
        <w:spacing w:after="0"/>
      </w:pPr>
      <w:r>
        <w:t xml:space="preserve">Are at risk due to either their own or a family member’s mental health needs </w:t>
      </w:r>
    </w:p>
    <w:p>
      <w:pPr>
        <w:pStyle w:val="ListParagraph"/>
        <w:numPr>
          <w:ilvl w:val="0"/>
          <w:numId w:val="52"/>
        </w:numPr>
        <w:spacing w:after="0"/>
      </w:pPr>
      <w:r>
        <w:t>Are looked after or previously looked after (see section 19)</w:t>
      </w:r>
    </w:p>
    <w:p>
      <w:pPr>
        <w:pStyle w:val="ListParagraph"/>
        <w:numPr>
          <w:ilvl w:val="0"/>
          <w:numId w:val="52"/>
        </w:numPr>
        <w:spacing w:after="0"/>
      </w:pPr>
      <w:r>
        <w:t>Are missing or absent from education for prolonged periods and/or repeat occasions</w:t>
      </w:r>
    </w:p>
    <w:p>
      <w:pPr>
        <w:pStyle w:val="ListParagraph"/>
        <w:numPr>
          <w:ilvl w:val="0"/>
          <w:numId w:val="52"/>
        </w:numPr>
        <w:spacing w:after="0"/>
      </w:pPr>
      <w:r>
        <w:t>Whose parent/</w:t>
      </w:r>
      <w:proofErr w:type="spellStart"/>
      <w:r>
        <w:t>carer</w:t>
      </w:r>
      <w:proofErr w:type="spellEnd"/>
      <w:r>
        <w:t xml:space="preserve"> has expressed an intention to remove them from school to be home educated</w:t>
      </w:r>
    </w:p>
    <w:p>
      <w:pPr>
        <w:pStyle w:val="ListParagraph"/>
        <w:numPr>
          <w:ilvl w:val="0"/>
          <w:numId w:val="52"/>
        </w:numPr>
        <w:spacing w:after="0"/>
      </w:pPr>
      <w:r>
        <w:t xml:space="preserve">Are vulnerable to being bullied or engaging in bullying </w:t>
      </w:r>
      <w:bookmarkStart w:id="33" w:name="_heading=h.tnxk8h8o165h" w:colFirst="0" w:colLast="0"/>
      <w:bookmarkEnd w:id="33"/>
    </w:p>
    <w:p>
      <w:pPr>
        <w:pStyle w:val="Heading2"/>
        <w:rPr>
          <w:b w:val="0"/>
          <w:sz w:val="22"/>
          <w:szCs w:val="22"/>
        </w:rPr>
      </w:pPr>
      <w:bookmarkStart w:id="34" w:name="_heading=h.pf1dy3e10qk5" w:colFirst="0" w:colLast="0"/>
      <w:bookmarkStart w:id="35" w:name="_Toc172030602"/>
      <w:bookmarkEnd w:id="34"/>
      <w:r>
        <w:rPr>
          <w:sz w:val="28"/>
        </w:rPr>
        <w:t>10. Confidentiality</w:t>
      </w:r>
      <w:bookmarkEnd w:id="35"/>
      <w:r>
        <w:rPr>
          <w:b w:val="0"/>
          <w:sz w:val="22"/>
          <w:szCs w:val="22"/>
        </w:rPr>
        <w:t xml:space="preserve"> </w:t>
      </w:r>
    </w:p>
    <w:p>
      <w:pPr>
        <w:spacing w:after="0"/>
      </w:pPr>
      <w:r>
        <w:t>All staff will understand that safeguarding issues warrant a high level of confidentiality, not only out of respect for the pupil and staff involved but also to ensure that information being released into the public domain does not compromise evidence.</w:t>
      </w:r>
    </w:p>
    <w:p>
      <w:pPr>
        <w:spacing w:before="240" w:after="240"/>
        <w:ind w:right="60"/>
      </w:pPr>
      <w:r>
        <w:t>Staff should only discuss concerns with the designated senior person, headteacher or chair of governors (depending on who is the subject of the concern). That person will then decide who else needs to have the information and they will disseminate it on a ‘need-to-­know’ basis.</w:t>
      </w:r>
    </w:p>
    <w:p>
      <w:pPr>
        <w:spacing w:before="240" w:after="240" w:line="276" w:lineRule="auto"/>
      </w:pPr>
      <w:r>
        <w:t>Safeguarding information will be stored and handled in line with the Data Protection Act 1998.</w:t>
      </w:r>
    </w:p>
    <w:p>
      <w:pPr>
        <w:spacing w:after="0" w:line="240" w:lineRule="auto"/>
      </w:pPr>
      <w:r>
        <w:t>Information sharing is guided by the following principles.  The information is:</w:t>
      </w:r>
    </w:p>
    <w:p>
      <w:pPr>
        <w:numPr>
          <w:ilvl w:val="0"/>
          <w:numId w:val="10"/>
        </w:numPr>
        <w:spacing w:after="0" w:line="240" w:lineRule="auto"/>
      </w:pPr>
      <w:r>
        <w:t>necessary and proportionate</w:t>
      </w:r>
    </w:p>
    <w:p>
      <w:pPr>
        <w:numPr>
          <w:ilvl w:val="0"/>
          <w:numId w:val="10"/>
        </w:numPr>
        <w:spacing w:after="0" w:line="240" w:lineRule="auto"/>
      </w:pPr>
      <w:r>
        <w:t>relevant</w:t>
      </w:r>
    </w:p>
    <w:p>
      <w:pPr>
        <w:numPr>
          <w:ilvl w:val="0"/>
          <w:numId w:val="10"/>
        </w:numPr>
        <w:spacing w:after="0" w:line="240" w:lineRule="auto"/>
      </w:pPr>
      <w:r>
        <w:t>adequate</w:t>
      </w:r>
    </w:p>
    <w:p>
      <w:pPr>
        <w:numPr>
          <w:ilvl w:val="0"/>
          <w:numId w:val="10"/>
        </w:numPr>
        <w:spacing w:after="0" w:line="240" w:lineRule="auto"/>
      </w:pPr>
      <w:r>
        <w:t>accurate</w:t>
      </w:r>
    </w:p>
    <w:p>
      <w:pPr>
        <w:numPr>
          <w:ilvl w:val="0"/>
          <w:numId w:val="10"/>
        </w:numPr>
        <w:spacing w:after="0" w:line="240" w:lineRule="auto"/>
      </w:pPr>
      <w:r>
        <w:t>timely</w:t>
      </w:r>
    </w:p>
    <w:p>
      <w:pPr>
        <w:numPr>
          <w:ilvl w:val="0"/>
          <w:numId w:val="10"/>
        </w:numPr>
        <w:spacing w:after="0" w:line="240" w:lineRule="auto"/>
      </w:pPr>
      <w:r>
        <w:t>secure</w:t>
      </w:r>
    </w:p>
    <w:p>
      <w:pPr>
        <w:pStyle w:val="Heading1"/>
        <w:spacing w:before="0"/>
        <w:rPr>
          <w:color w:val="FF0000"/>
          <w:sz w:val="32"/>
          <w:szCs w:val="32"/>
        </w:rPr>
      </w:pPr>
      <w:bookmarkStart w:id="36" w:name="_heading=h.35muucdnssok" w:colFirst="0" w:colLast="0"/>
      <w:bookmarkStart w:id="37" w:name="_Toc172030603"/>
      <w:bookmarkEnd w:id="36"/>
      <w:r>
        <w:rPr>
          <w:color w:val="FF0000"/>
          <w:sz w:val="32"/>
          <w:szCs w:val="32"/>
        </w:rPr>
        <w:lastRenderedPageBreak/>
        <w:t>Part Two: Competent</w:t>
      </w:r>
      <w:bookmarkEnd w:id="37"/>
      <w:r>
        <w:rPr>
          <w:color w:val="FF0000"/>
          <w:sz w:val="32"/>
          <w:szCs w:val="32"/>
        </w:rPr>
        <w:t xml:space="preserve"> </w:t>
      </w:r>
    </w:p>
    <w:p>
      <w:pPr>
        <w:pStyle w:val="Heading1"/>
        <w:spacing w:before="0"/>
        <w:rPr>
          <w:sz w:val="28"/>
          <w:szCs w:val="28"/>
        </w:rPr>
      </w:pPr>
      <w:bookmarkStart w:id="38" w:name="_heading=h.2x3rl252ujwl" w:colFirst="0" w:colLast="0"/>
      <w:bookmarkStart w:id="39" w:name="_Toc172030604"/>
      <w:bookmarkEnd w:id="38"/>
      <w:r>
        <w:rPr>
          <w:sz w:val="28"/>
          <w:szCs w:val="28"/>
        </w:rPr>
        <w:t xml:space="preserve">Part 2A - Competent: </w:t>
      </w:r>
      <w:proofErr w:type="spellStart"/>
      <w:r>
        <w:rPr>
          <w:sz w:val="28"/>
          <w:szCs w:val="28"/>
        </w:rPr>
        <w:t>Recognising</w:t>
      </w:r>
      <w:proofErr w:type="spellEnd"/>
      <w:r>
        <w:rPr>
          <w:sz w:val="28"/>
          <w:szCs w:val="28"/>
        </w:rPr>
        <w:t xml:space="preserve"> Abuse</w:t>
      </w:r>
      <w:bookmarkEnd w:id="39"/>
    </w:p>
    <w:p>
      <w:pPr>
        <w:pStyle w:val="Heading2"/>
        <w:rPr>
          <w:sz w:val="28"/>
        </w:rPr>
      </w:pPr>
      <w:bookmarkStart w:id="40" w:name="_Toc172030605"/>
      <w:r>
        <w:rPr>
          <w:sz w:val="28"/>
        </w:rPr>
        <w:t>11. Training</w:t>
      </w:r>
      <w:bookmarkEnd w:id="40"/>
    </w:p>
    <w:p>
      <w:pPr>
        <w:spacing w:after="0"/>
      </w:pPr>
      <w: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p>
    <w:p>
      <w:pPr>
        <w:spacing w:after="0"/>
      </w:pPr>
      <w:r>
        <w:t>This training will be regularly updated and will:</w:t>
      </w:r>
    </w:p>
    <w:p>
      <w:pPr>
        <w:numPr>
          <w:ilvl w:val="0"/>
          <w:numId w:val="48"/>
        </w:numPr>
        <w:spacing w:after="0"/>
      </w:pPr>
      <w:r>
        <w:t>Be integrated, aligned and considered as part of the whole-school safeguarding approach and wider staff training, and curriculum planning.</w:t>
      </w:r>
    </w:p>
    <w:p>
      <w:pPr>
        <w:numPr>
          <w:ilvl w:val="0"/>
          <w:numId w:val="48"/>
        </w:numPr>
        <w:spacing w:after="0"/>
      </w:pPr>
      <w:r>
        <w:t>Be in line with advice from the 3 safeguarding partners.</w:t>
      </w:r>
    </w:p>
    <w:p>
      <w:pPr>
        <w:numPr>
          <w:ilvl w:val="0"/>
          <w:numId w:val="48"/>
        </w:numPr>
        <w:spacing w:after="0"/>
      </w:pPr>
      <w:r>
        <w:t>Include online safety, including an understanding of the expectations, roles and responsibilities for staff around filtering and monitoring.</w:t>
      </w:r>
    </w:p>
    <w:p>
      <w:pPr>
        <w:spacing w:before="120" w:after="0"/>
      </w:pPr>
      <w:r>
        <w:t>Have regard to the Teachers’ Standards to support the expectation that all teachers:</w:t>
      </w:r>
    </w:p>
    <w:p>
      <w:pPr>
        <w:numPr>
          <w:ilvl w:val="0"/>
          <w:numId w:val="23"/>
        </w:numPr>
        <w:spacing w:after="0"/>
      </w:pPr>
      <w:r>
        <w:t xml:space="preserve">Manage </w:t>
      </w:r>
      <w:proofErr w:type="spellStart"/>
      <w:r>
        <w:t>behaviour</w:t>
      </w:r>
      <w:proofErr w:type="spellEnd"/>
      <w:r>
        <w:t xml:space="preserve"> effectively to ensure a good and safe environment.</w:t>
      </w:r>
    </w:p>
    <w:p>
      <w:pPr>
        <w:numPr>
          <w:ilvl w:val="0"/>
          <w:numId w:val="23"/>
        </w:numPr>
        <w:spacing w:after="0"/>
      </w:pPr>
      <w:r>
        <w:t>Have a clear understanding of the needs of all pupils.</w:t>
      </w:r>
    </w:p>
    <w:p>
      <w:pPr>
        <w:spacing w:before="120" w:after="0"/>
      </w:pPr>
      <w:r>
        <w:t>All staff will have training on the government’s anti-</w:t>
      </w:r>
      <w:proofErr w:type="spellStart"/>
      <w:r>
        <w:t>radicalisation</w:t>
      </w:r>
      <w:proofErr w:type="spellEnd"/>
      <w:r>
        <w:t xml:space="preserve"> strategy, Prevent, to enable them to identify children at risk of becoming involved with or supporting terrorism, and to challenge extremist ideas.</w:t>
      </w:r>
    </w:p>
    <w:p>
      <w:pPr>
        <w:spacing w:after="0"/>
      </w:pPr>
      <w:r>
        <w:t>Staff will also receive regular safeguarding and child protection updates, including on online safety, as required but at least annually (for example, through emails, e-bulletins and staff meetings). Volunteers will receive appropriate training, if applicable.</w:t>
      </w:r>
    </w:p>
    <w:p>
      <w:pPr>
        <w:spacing w:after="0"/>
      </w:pPr>
    </w:p>
    <w:p>
      <w:pPr>
        <w:pStyle w:val="Heading2"/>
        <w:rPr>
          <w:sz w:val="28"/>
        </w:rPr>
      </w:pPr>
      <w:bookmarkStart w:id="41" w:name="_Toc172030606"/>
      <w:r>
        <w:rPr>
          <w:sz w:val="28"/>
        </w:rPr>
        <w:t xml:space="preserve">12. </w:t>
      </w:r>
      <w:proofErr w:type="spellStart"/>
      <w:r>
        <w:rPr>
          <w:sz w:val="28"/>
        </w:rPr>
        <w:t>Recognising</w:t>
      </w:r>
      <w:proofErr w:type="spellEnd"/>
      <w:r>
        <w:rPr>
          <w:sz w:val="28"/>
        </w:rPr>
        <w:t xml:space="preserve"> Abuse, Neglect and Exploitation</w:t>
      </w:r>
      <w:bookmarkEnd w:id="41"/>
    </w:p>
    <w:p>
      <w:pPr>
        <w:spacing w:after="0" w:line="240" w:lineRule="auto"/>
      </w:pPr>
      <w:r>
        <w:t>All staff should be aware of the indicators of abuse, neglect and exploitation (including child-on-child abuse), understanding that children can be at risk of harm inside and outside of school, inside and outside of home, and online. Exercising professional curiosity and knowing what to look for is vital for the early identification of abuse and neglect, so that staff are able to identify cases of children who may be in need of help or protection.</w:t>
      </w:r>
    </w:p>
    <w:p>
      <w:pPr>
        <w:spacing w:before="240" w:after="240" w:line="240" w:lineRule="auto"/>
      </w:pPr>
      <w:r>
        <w:t xml:space="preserve">All staff should be aware that abuse, neglect, exploitation, and safeguarding issues are rarely standalone events and cannot be covered by one definition or one label alone. In most cases, multiple issues will overlap. All staff, but especially the designated safeguarding lead (and deputies) should consider whether children are at risk of abuse or exploitation in situations outside their families. Extra 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w:t>
      </w:r>
      <w:proofErr w:type="spellStart"/>
      <w:r>
        <w:t>radicalisation</w:t>
      </w:r>
      <w:proofErr w:type="spellEnd"/>
    </w:p>
    <w:p>
      <w:pPr>
        <w:spacing w:before="240" w:after="240" w:line="240" w:lineRule="auto"/>
      </w:pPr>
      <w:r>
        <w:t xml:space="preserve">All staff should be aware that 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indecent images, especially around chat groups, and the sharing of abusive images and pornography to those who do not want to receive such content. </w:t>
      </w:r>
    </w:p>
    <w:p>
      <w:pPr>
        <w:spacing w:before="240" w:after="240" w:line="240" w:lineRule="auto"/>
      </w:pPr>
      <w:r>
        <w:t xml:space="preserve">In all cases, if staff are unsure, they should always speak to the designated safeguarding lead or a deputy. </w:t>
      </w:r>
    </w:p>
    <w:p>
      <w:pPr>
        <w:pStyle w:val="Heading3"/>
      </w:pPr>
      <w:bookmarkStart w:id="42" w:name="_Toc172030607"/>
      <w:r>
        <w:lastRenderedPageBreak/>
        <w:t>12.1 Abuse</w:t>
      </w:r>
      <w:bookmarkEnd w:id="42"/>
    </w:p>
    <w:p>
      <w:pPr>
        <w:spacing w:line="240" w:lineRule="auto"/>
      </w:pPr>
      <w: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w:t>
      </w:r>
      <w:proofErr w:type="gramStart"/>
      <w:r>
        <w:t>it’s</w:t>
      </w:r>
      <w:proofErr w:type="gramEnd"/>
      <w:r>
        <w:t xml:space="preserve">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pPr>
        <w:pStyle w:val="Heading3"/>
      </w:pPr>
      <w:bookmarkStart w:id="43" w:name="_Toc172030608"/>
      <w:r>
        <w:t>12.2 Physical Abuse</w:t>
      </w:r>
      <w:bookmarkEnd w:id="43"/>
    </w:p>
    <w:p>
      <w:pPr>
        <w:spacing w:line="240" w:lineRule="auto"/>
      </w:pPr>
      <w:r>
        <w:t xml:space="preserve">A form of abuse which may involve hitting, shaking, throwing, poisoning, burning or scalding, drowning, suffocating or otherwise causing physical harm to a child. Physical harm may also be caused when a parent or </w:t>
      </w:r>
      <w:proofErr w:type="spellStart"/>
      <w:r>
        <w:t>carer</w:t>
      </w:r>
      <w:proofErr w:type="spellEnd"/>
      <w:r>
        <w:t xml:space="preserve"> fabricates the symptoms of, or deliberately induces, illness in a child.</w:t>
      </w:r>
    </w:p>
    <w:p>
      <w:pPr>
        <w:pStyle w:val="Heading3"/>
      </w:pPr>
      <w:bookmarkStart w:id="44" w:name="_Toc172030609"/>
      <w:r>
        <w:t>12.3 Emotional Abuse</w:t>
      </w:r>
      <w:bookmarkEnd w:id="44"/>
    </w:p>
    <w:p>
      <w:pPr>
        <w:spacing w:after="0"/>
      </w:pPr>
      <w:r>
        <w:t>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w:t>
      </w:r>
    </w:p>
    <w:p>
      <w:pPr>
        <w:spacing w:after="0"/>
      </w:pPr>
    </w:p>
    <w:p>
      <w:pPr>
        <w:spacing w:after="0"/>
      </w:pPr>
      <w:r>
        <w:t>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pPr>
        <w:pStyle w:val="Heading3"/>
      </w:pPr>
      <w:bookmarkStart w:id="45" w:name="_Toc172030610"/>
      <w:r>
        <w:t>12.4 Sexual Abuse</w:t>
      </w:r>
      <w:bookmarkEnd w:id="45"/>
    </w:p>
    <w:p>
      <w:r>
        <w:t>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please see section Sexual Violence / Sexual Harassment (page 41)</w:t>
      </w:r>
    </w:p>
    <w:p>
      <w:pPr>
        <w:spacing w:after="240"/>
        <w:rPr>
          <w:rFonts w:asciiTheme="minorHAnsi" w:hAnsiTheme="minorHAnsi" w:cstheme="minorHAnsi"/>
          <w:szCs w:val="20"/>
        </w:rPr>
      </w:pPr>
      <w:r>
        <w:rPr>
          <w:rFonts w:asciiTheme="minorHAnsi" w:hAnsiTheme="minorHAnsi" w:cstheme="minorHAnsi"/>
          <w:szCs w:val="20"/>
        </w:rPr>
        <w:t xml:space="preserve">When supporting victims the school will use resources from </w:t>
      </w:r>
      <w:hyperlink r:id="rId48" w:tgtFrame="_blank" w:history="1">
        <w:r>
          <w:rPr>
            <w:rStyle w:val="Hyperlink"/>
            <w:rFonts w:asciiTheme="minorHAnsi" w:hAnsiTheme="minorHAnsi" w:cstheme="minorHAnsi"/>
            <w:shd w:val="clear" w:color="auto" w:fill="FFFFFF"/>
          </w:rPr>
          <w:t>Shore Space</w:t>
        </w:r>
      </w:hyperlink>
      <w:r>
        <w:rPr>
          <w:rFonts w:asciiTheme="minorHAnsi" w:hAnsiTheme="minorHAnsi" w:cstheme="minorHAnsi"/>
          <w:color w:val="1D1E1C"/>
          <w:shd w:val="clear" w:color="auto" w:fill="FFFFFF"/>
        </w:rPr>
        <w:t xml:space="preserve">, developed in collaboration with the Home Office, is an online resource offering a confidential chat service to support young people concerned about their own or someone else’s sexual thoughts and </w:t>
      </w:r>
      <w:proofErr w:type="spellStart"/>
      <w:r>
        <w:rPr>
          <w:rFonts w:asciiTheme="minorHAnsi" w:hAnsiTheme="minorHAnsi" w:cstheme="minorHAnsi"/>
          <w:color w:val="1D1E1C"/>
          <w:shd w:val="clear" w:color="auto" w:fill="FFFFFF"/>
        </w:rPr>
        <w:t>behaviour</w:t>
      </w:r>
      <w:proofErr w:type="spellEnd"/>
      <w:r>
        <w:rPr>
          <w:rFonts w:asciiTheme="minorHAnsi" w:hAnsiTheme="minorHAnsi" w:cstheme="minorHAnsi"/>
          <w:color w:val="1D1E1C"/>
          <w:shd w:val="clear" w:color="auto" w:fill="FFFFFF"/>
        </w:rPr>
        <w:t>. This now sits alongside existing resources including the </w:t>
      </w:r>
      <w:hyperlink r:id="rId49" w:tgtFrame="_blank" w:history="1">
        <w:r>
          <w:rPr>
            <w:rStyle w:val="Hyperlink"/>
            <w:rFonts w:asciiTheme="minorHAnsi" w:hAnsiTheme="minorHAnsi" w:cstheme="minorHAnsi"/>
            <w:shd w:val="clear" w:color="auto" w:fill="FFFFFF"/>
          </w:rPr>
          <w:t>HSB Toolkit</w:t>
        </w:r>
      </w:hyperlink>
      <w:r>
        <w:rPr>
          <w:rFonts w:asciiTheme="minorHAnsi" w:hAnsiTheme="minorHAnsi" w:cstheme="minorHAnsi"/>
          <w:color w:val="1D1E1C"/>
          <w:shd w:val="clear" w:color="auto" w:fill="FFFFFF"/>
        </w:rPr>
        <w:t> and the </w:t>
      </w:r>
      <w:hyperlink r:id="rId50" w:tgtFrame="_blank" w:history="1">
        <w:r>
          <w:rPr>
            <w:rStyle w:val="Hyperlink"/>
            <w:rFonts w:asciiTheme="minorHAnsi" w:hAnsiTheme="minorHAnsi" w:cstheme="minorHAnsi"/>
            <w:shd w:val="clear" w:color="auto" w:fill="FFFFFF"/>
          </w:rPr>
          <w:t xml:space="preserve">Harmful sexual </w:t>
        </w:r>
        <w:proofErr w:type="spellStart"/>
        <w:r>
          <w:rPr>
            <w:rStyle w:val="Hyperlink"/>
            <w:rFonts w:asciiTheme="minorHAnsi" w:hAnsiTheme="minorHAnsi" w:cstheme="minorHAnsi"/>
            <w:shd w:val="clear" w:color="auto" w:fill="FFFFFF"/>
          </w:rPr>
          <w:t>behaviour</w:t>
        </w:r>
        <w:proofErr w:type="spellEnd"/>
        <w:r>
          <w:rPr>
            <w:rStyle w:val="Hyperlink"/>
            <w:rFonts w:asciiTheme="minorHAnsi" w:hAnsiTheme="minorHAnsi" w:cstheme="minorHAnsi"/>
            <w:shd w:val="clear" w:color="auto" w:fill="FFFFFF"/>
          </w:rPr>
          <w:t xml:space="preserve"> framework</w:t>
        </w:r>
      </w:hyperlink>
      <w:r>
        <w:rPr>
          <w:rFonts w:asciiTheme="minorHAnsi" w:hAnsiTheme="minorHAnsi" w:cstheme="minorHAnsi"/>
          <w:color w:val="1D1E1C"/>
          <w:shd w:val="clear" w:color="auto" w:fill="FFFFFF"/>
        </w:rPr>
        <w:t> from the NSPCC. </w:t>
      </w:r>
    </w:p>
    <w:p>
      <w:pPr>
        <w:rPr>
          <w:rFonts w:asciiTheme="minorHAnsi" w:hAnsiTheme="minorHAnsi" w:cstheme="minorHAnsi"/>
        </w:rPr>
      </w:pPr>
      <w:r>
        <w:rPr>
          <w:rFonts w:asciiTheme="minorHAnsi" w:hAnsiTheme="minorHAnsi" w:cstheme="minorHAnsi"/>
          <w:color w:val="1D1E1C"/>
          <w:shd w:val="clear" w:color="auto" w:fill="FFFFFF"/>
        </w:rPr>
        <w:t>Further guidance includes </w:t>
      </w:r>
      <w:hyperlink r:id="rId51" w:tgtFrame="_blank" w:history="1">
        <w:r>
          <w:rPr>
            <w:rStyle w:val="Hyperlink"/>
            <w:rFonts w:asciiTheme="minorHAnsi" w:hAnsiTheme="minorHAnsi" w:cstheme="minorHAnsi"/>
            <w:shd w:val="clear" w:color="auto" w:fill="FFFFFF"/>
          </w:rPr>
          <w:t>new resources from the Centre of Expertise on Child Sexual Abuse (CSA Centre)</w:t>
        </w:r>
      </w:hyperlink>
      <w:r>
        <w:rPr>
          <w:rFonts w:asciiTheme="minorHAnsi" w:hAnsiTheme="minorHAnsi" w:cstheme="minorHAnsi"/>
          <w:color w:val="1D1E1C"/>
          <w:shd w:val="clear" w:color="auto" w:fill="FFFFFF"/>
        </w:rPr>
        <w:t xml:space="preserve"> to help education professionals identify and respond to concerns of child sexual abuse and abusive </w:t>
      </w:r>
      <w:proofErr w:type="spellStart"/>
      <w:r>
        <w:rPr>
          <w:rFonts w:asciiTheme="minorHAnsi" w:hAnsiTheme="minorHAnsi" w:cstheme="minorHAnsi"/>
          <w:color w:val="1D1E1C"/>
          <w:shd w:val="clear" w:color="auto" w:fill="FFFFFF"/>
        </w:rPr>
        <w:t>behaviours</w:t>
      </w:r>
      <w:proofErr w:type="spellEnd"/>
      <w:r>
        <w:rPr>
          <w:rFonts w:asciiTheme="minorHAnsi" w:hAnsiTheme="minorHAnsi" w:cstheme="minorHAnsi"/>
          <w:color w:val="1D1E1C"/>
          <w:shd w:val="clear" w:color="auto" w:fill="FFFFFF"/>
        </w:rPr>
        <w:t>, and </w:t>
      </w:r>
      <w:hyperlink r:id="rId52" w:tgtFrame="_blank" w:history="1">
        <w:r>
          <w:rPr>
            <w:rStyle w:val="Hyperlink"/>
            <w:rFonts w:asciiTheme="minorHAnsi" w:hAnsiTheme="minorHAnsi" w:cstheme="minorHAnsi"/>
            <w:shd w:val="clear" w:color="auto" w:fill="FFFFFF"/>
          </w:rPr>
          <w:t>Preventing Child Sexual Exploitation</w:t>
        </w:r>
      </w:hyperlink>
      <w:r>
        <w:rPr>
          <w:rFonts w:asciiTheme="minorHAnsi" w:hAnsiTheme="minorHAnsi" w:cstheme="minorHAnsi"/>
          <w:color w:val="1D1E1C"/>
          <w:shd w:val="clear" w:color="auto" w:fill="FFFFFF"/>
        </w:rPr>
        <w:t> from the Children’s Society and Home office.</w:t>
      </w:r>
    </w:p>
    <w:p>
      <w:pPr>
        <w:pStyle w:val="Heading3"/>
      </w:pPr>
      <w:bookmarkStart w:id="46" w:name="_Toc172030611"/>
      <w:r>
        <w:lastRenderedPageBreak/>
        <w:t>12.5 Neglect</w:t>
      </w:r>
      <w:bookmarkEnd w:id="46"/>
    </w:p>
    <w:p>
      <w:pPr>
        <w:spacing w:after="0"/>
      </w:pPr>
      <w:r>
        <w:t xml:space="preserve">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w:t>
      </w:r>
      <w:proofErr w:type="spellStart"/>
      <w:r>
        <w:t>carer</w:t>
      </w:r>
      <w:proofErr w:type="spellEnd"/>
      <w:r>
        <w:t xml:space="preserve"> failing to:</w:t>
      </w:r>
    </w:p>
    <w:p>
      <w:pPr>
        <w:numPr>
          <w:ilvl w:val="0"/>
          <w:numId w:val="42"/>
        </w:numPr>
        <w:spacing w:after="0" w:line="240" w:lineRule="auto"/>
      </w:pPr>
      <w:r>
        <w:t>provide adequate food, clothing and shelter (including exclusion from home or abandonment);</w:t>
      </w:r>
    </w:p>
    <w:p>
      <w:pPr>
        <w:numPr>
          <w:ilvl w:val="0"/>
          <w:numId w:val="42"/>
        </w:numPr>
        <w:spacing w:after="0"/>
      </w:pPr>
      <w:r>
        <w:t>protect a child from physical and emotional</w:t>
      </w:r>
      <w:r>
        <w:rPr>
          <w:sz w:val="18"/>
        </w:rPr>
        <w:t xml:space="preserve"> </w:t>
      </w:r>
      <w:r>
        <w:t>harm or danger;</w:t>
      </w:r>
    </w:p>
    <w:p>
      <w:pPr>
        <w:numPr>
          <w:ilvl w:val="0"/>
          <w:numId w:val="42"/>
        </w:numPr>
        <w:spacing w:after="0"/>
      </w:pPr>
      <w:r>
        <w:t>ensure adequate supervision (including the use of inadequate care-givers); or</w:t>
      </w:r>
    </w:p>
    <w:p>
      <w:pPr>
        <w:numPr>
          <w:ilvl w:val="0"/>
          <w:numId w:val="42"/>
        </w:numPr>
        <w:spacing w:after="0"/>
      </w:pPr>
      <w:r>
        <w:t xml:space="preserve">ensure access to appropriate medical care or treatment. It may also include neglect of, or unresponsiveness to, a child’s basic emotional needs.  </w:t>
      </w:r>
    </w:p>
    <w:p>
      <w:pPr>
        <w:pStyle w:val="Heading3"/>
      </w:pPr>
      <w:bookmarkStart w:id="47" w:name="_Toc172030612"/>
      <w:r>
        <w:t>12.6 Child on Child Abuse</w:t>
      </w:r>
      <w:bookmarkEnd w:id="47"/>
    </w:p>
    <w:p>
      <w:pPr>
        <w:widowControl w:val="0"/>
        <w:spacing w:before="120" w:after="0" w:line="240" w:lineRule="auto"/>
      </w:pPr>
      <w:r>
        <w:t xml:space="preserve">It is essential that all staff understand the importance of challenging inappropriate </w:t>
      </w:r>
      <w:proofErr w:type="spellStart"/>
      <w:r>
        <w:t>behaviours</w:t>
      </w:r>
      <w:proofErr w:type="spellEnd"/>
      <w:r>
        <w:t xml:space="preserve"> between children that are abusive in nature, examples of which are listed below. Downplaying certain </w:t>
      </w:r>
      <w:proofErr w:type="spellStart"/>
      <w:r>
        <w:t>behaviours</w:t>
      </w:r>
      <w:proofErr w:type="spellEnd"/>
      <w:r>
        <w:t xml:space="preserve">, for example, dismissing sexual harassment as “just banter”, “just having a laugh”, “part of growing up” or “boys being boys” can lead to a culture of unacceptable </w:t>
      </w:r>
      <w:proofErr w:type="spellStart"/>
      <w:r>
        <w:t>behaviours</w:t>
      </w:r>
      <w:proofErr w:type="spellEnd"/>
      <w:r>
        <w:t xml:space="preserve">, an unsafe environment for children and in worst case scenarios a culture that </w:t>
      </w:r>
      <w:proofErr w:type="spellStart"/>
      <w:r>
        <w:t>normalises</w:t>
      </w:r>
      <w:proofErr w:type="spellEnd"/>
      <w:r>
        <w:t xml:space="preserve"> abuse leading to children accepting it as normal and not coming forward to report it. </w:t>
      </w:r>
    </w:p>
    <w:p>
      <w:pPr>
        <w:widowControl w:val="0"/>
        <w:spacing w:after="0" w:line="240" w:lineRule="auto"/>
      </w:pPr>
    </w:p>
    <w:p>
      <w:pPr>
        <w:widowControl w:val="0"/>
        <w:spacing w:after="0" w:line="240" w:lineRule="auto"/>
      </w:pPr>
      <w:r>
        <w:t xml:space="preserve">Child-on-child abuse is most likely to include, but may not be limited to: </w:t>
      </w:r>
    </w:p>
    <w:p>
      <w:pPr>
        <w:widowControl w:val="0"/>
        <w:numPr>
          <w:ilvl w:val="0"/>
          <w:numId w:val="6"/>
        </w:numPr>
        <w:spacing w:after="0" w:line="240" w:lineRule="auto"/>
      </w:pPr>
      <w:r>
        <w:t>bullying (including cyberbullying, prejudice-based and discriminatory bullying) abuse in intimate personal relationships between children (sometimes known as ‘teenage relationship abuse’).</w:t>
      </w:r>
    </w:p>
    <w:p>
      <w:pPr>
        <w:widowControl w:val="0"/>
        <w:numPr>
          <w:ilvl w:val="0"/>
          <w:numId w:val="6"/>
        </w:numPr>
        <w:spacing w:after="0" w:line="240" w:lineRule="auto"/>
      </w:pPr>
      <w:r>
        <w:t>physical abuse such as hitting, kicking, shaking, biting, hair pulling, or otherwise causing physical harm (this may include an online element which facilitates, threatens and/or encourages physical abuse).</w:t>
      </w:r>
    </w:p>
    <w:p>
      <w:pPr>
        <w:widowControl w:val="0"/>
        <w:numPr>
          <w:ilvl w:val="0"/>
          <w:numId w:val="6"/>
        </w:numPr>
        <w:spacing w:after="0" w:line="240" w:lineRule="auto"/>
      </w:pPr>
      <w:r>
        <w:t>sexual violence such as rape, assault by penetration and sexual assault;(this may include an online element which facilitates, threatens and/or encourages sexual violence).</w:t>
      </w:r>
    </w:p>
    <w:p>
      <w:pPr>
        <w:widowControl w:val="0"/>
        <w:numPr>
          <w:ilvl w:val="0"/>
          <w:numId w:val="6"/>
        </w:numPr>
        <w:spacing w:after="0" w:line="240" w:lineRule="auto"/>
      </w:pPr>
      <w:r>
        <w:t>sexual harassment such as sexual comments, remarks, jokes and online sexual harassment, which may be standalone or part of a broader pattern of abuse.</w:t>
      </w:r>
    </w:p>
    <w:p>
      <w:pPr>
        <w:widowControl w:val="0"/>
        <w:numPr>
          <w:ilvl w:val="0"/>
          <w:numId w:val="6"/>
        </w:numPr>
        <w:spacing w:after="0" w:line="240" w:lineRule="auto"/>
      </w:pPr>
      <w:r>
        <w:t>causing someone to engage in sexual activity without consent, such as forcing someone to strip, touch themselves sexually, or to engage in sexual activity with a third party.</w:t>
      </w:r>
    </w:p>
    <w:p>
      <w:pPr>
        <w:widowControl w:val="0"/>
        <w:numPr>
          <w:ilvl w:val="0"/>
          <w:numId w:val="6"/>
        </w:numPr>
        <w:spacing w:after="0" w:line="240" w:lineRule="auto"/>
      </w:pPr>
      <w:r>
        <w:t xml:space="preserve">consensual and non-consensual sharing of nude and semi-nude images and/or </w:t>
      </w:r>
      <w:proofErr w:type="gramStart"/>
      <w:r>
        <w:t>videos(</w:t>
      </w:r>
      <w:proofErr w:type="gramEnd"/>
      <w:r>
        <w:t>also known as sexting or youth produced sexual imagery).</w:t>
      </w:r>
    </w:p>
    <w:p>
      <w:pPr>
        <w:widowControl w:val="0"/>
        <w:numPr>
          <w:ilvl w:val="0"/>
          <w:numId w:val="6"/>
        </w:numPr>
        <w:spacing w:after="200" w:line="240" w:lineRule="auto"/>
      </w:pPr>
      <w:proofErr w:type="spellStart"/>
      <w:r>
        <w:t>upskirting</w:t>
      </w:r>
      <w:proofErr w:type="spellEnd"/>
      <w:r>
        <w:t xml:space="preserve"> which typically involves taking a picture under a person’s clothing without their permission, with the intention of viewing their genitals or buttocks to obtain sexual gratification, or cause the victim humiliation, initiation/hazing type violence and rituals (this could include activities involving harassment, abuse or humiliation used as a way of initiating a person into a group and may also include an online element).</w:t>
      </w:r>
    </w:p>
    <w:p>
      <w:pPr>
        <w:pStyle w:val="Heading3"/>
      </w:pPr>
      <w:bookmarkStart w:id="48" w:name="_heading=h.jwio1q36midr" w:colFirst="0" w:colLast="0"/>
      <w:bookmarkStart w:id="49" w:name="_Toc172030613"/>
      <w:bookmarkEnd w:id="48"/>
      <w:r>
        <w:t>12.7 Exploitation</w:t>
      </w:r>
      <w:bookmarkEnd w:id="49"/>
    </w:p>
    <w:p>
      <w:pPr>
        <w:spacing w:after="120" w:line="240" w:lineRule="auto"/>
      </w:pPr>
      <w:r>
        <w:t xml:space="preserve">Child Criminal Exploitation (CCE) and Child Sexual Exploitation (CSE). Both CCE and CSE are 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w:t>
      </w:r>
    </w:p>
    <w:p>
      <w:pPr>
        <w:spacing w:after="120" w:line="240" w:lineRule="auto"/>
      </w:pPr>
      <w:r>
        <w:t>CCE and CSE can affect children, both male and female and can include children who have been moved (commonly referred to as trafficking) for the purpose of exploitation.</w:t>
      </w:r>
    </w:p>
    <w:p>
      <w:pPr>
        <w:pStyle w:val="Heading3"/>
      </w:pPr>
      <w:r>
        <w:t xml:space="preserve"> </w:t>
      </w:r>
      <w:bookmarkStart w:id="50" w:name="_Toc172030614"/>
      <w:r>
        <w:t>12.8 Child Criminal Exploitation (CCE)</w:t>
      </w:r>
      <w:bookmarkEnd w:id="50"/>
    </w:p>
    <w:p>
      <w:pPr>
        <w:spacing w:line="240" w:lineRule="auto"/>
      </w:pPr>
      <w:r>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 </w:t>
      </w:r>
      <w:r>
        <w:lastRenderedPageBreak/>
        <w:t xml:space="preserve">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w:t>
      </w:r>
    </w:p>
    <w:p>
      <w:pPr>
        <w:spacing w:line="240" w:lineRule="auto"/>
      </w:pPr>
      <w:r>
        <w:t xml:space="preserve">As children involved in criminal exploitation often commit crimes themselves, their vulnerability as victims is not always </w:t>
      </w:r>
      <w:proofErr w:type="spellStart"/>
      <w:r>
        <w:t>recognised</w:t>
      </w:r>
      <w:proofErr w:type="spellEnd"/>
      <w:r>
        <w:t xml:space="preserve"> by adults and professionals, (particularly older children), and they are not treated as victims despite the harm they have experienced. They may still have been criminally exploited even if the activity appears to be something they have agreed or consented to. 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pPr>
        <w:pStyle w:val="Heading3"/>
        <w:rPr>
          <w:sz w:val="20"/>
        </w:rPr>
      </w:pPr>
      <w:bookmarkStart w:id="51" w:name="_Toc172030615"/>
      <w:r>
        <w:t>12.9 Child Sexual Exploitation (CSE)</w:t>
      </w:r>
      <w:bookmarkEnd w:id="51"/>
    </w:p>
    <w:p>
      <w:pPr>
        <w:spacing w:after="120"/>
      </w:pPr>
      <w:r>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r>
        <w:t xml:space="preserve">CSE can occur over time or be a one-off occurrence and may happen without the child’s immediate knowledge for example through others sharing videos or images of them on social media. CSE can affect any child who has been coerced into engaging in sexual activities. This includes 16- and 17-year-olds who can legally consent to have sex. Some children do not </w:t>
      </w:r>
      <w:proofErr w:type="spellStart"/>
      <w:r>
        <w:t>realise</w:t>
      </w:r>
      <w:proofErr w:type="spellEnd"/>
      <w:r>
        <w:t xml:space="preserve"> they are being exploited and may believe they are in a genuine romantic relationship. </w:t>
      </w:r>
    </w:p>
    <w:p>
      <w:pPr>
        <w:pStyle w:val="Heading3"/>
        <w:rPr>
          <w:sz w:val="14"/>
        </w:rPr>
      </w:pPr>
      <w:bookmarkStart w:id="52" w:name="_Toc172030616"/>
      <w:r>
        <w:t>12.10 Child on Child Sexual Violence and Sexual Harassment</w:t>
      </w:r>
      <w:bookmarkEnd w:id="52"/>
    </w:p>
    <w:p>
      <w:pPr>
        <w:spacing w:after="0" w:line="240" w:lineRule="auto"/>
      </w:pPr>
      <w:r>
        <w:t xml:space="preserve">Sexual violence and sexual harassment can occur between two children of any age and sex.  It can occur through a group of children sexually assaulting or sexually harassing a single child or group of children.  Sexual violence and sexual harassment can occur online and face to face (both physically and verbally) and are never acceptable.  Addressing inappropriate </w:t>
      </w:r>
      <w:proofErr w:type="spellStart"/>
      <w:r>
        <w:t>behaviour</w:t>
      </w:r>
      <w:proofErr w:type="spellEnd"/>
      <w:r>
        <w:t xml:space="preserve"> can be an important intervention that helps prevent problematic, abusive and/or violent </w:t>
      </w:r>
      <w:proofErr w:type="spellStart"/>
      <w:r>
        <w:t>behaviour</w:t>
      </w:r>
      <w:proofErr w:type="spellEnd"/>
      <w:r>
        <w:t xml:space="preserve"> in the future.</w:t>
      </w:r>
    </w:p>
    <w:p>
      <w:pPr>
        <w:spacing w:before="240" w:after="240" w:line="240" w:lineRule="auto"/>
      </w:pPr>
      <w:r>
        <w:t xml:space="preserve">Children who are victims of sexual violence and sexual harassment will likely find the experience stressful and distressing.  This will, in all likelihood, adversely affect their educational attainment. </w:t>
      </w:r>
    </w:p>
    <w:p>
      <w:pPr>
        <w:spacing w:before="240" w:after="240" w:line="240" w:lineRule="auto"/>
      </w:pPr>
      <w:r>
        <w:t>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embarrassed or ashamed for making a report.  Victims should be protected, offered appropriate support and every effort made to ensure that their education is not disrupted.</w:t>
      </w:r>
    </w:p>
    <w:p>
      <w:pPr>
        <w:spacing w:before="240" w:after="240" w:line="240" w:lineRule="auto"/>
      </w:pPr>
      <w:r>
        <w:t>Along with providing support to children who are victims of sexual violence or sexual harassment, the alleged perpetrator(s) need to be provided an education, safeguarding support as appropriate and any disciplinary sanctions.  A child abusing another child may be a sign they have been abused themselves or a sign of wider issues that require addressing within the culture of school.</w:t>
      </w:r>
    </w:p>
    <w:p>
      <w:pPr>
        <w:spacing w:before="240" w:after="240" w:line="240" w:lineRule="auto"/>
      </w:pPr>
      <w:r>
        <w:t>Sexual violence and sexual abuse can happen anywhere, staff should maintain the attitude of “</w:t>
      </w:r>
      <w:r>
        <w:rPr>
          <w:b/>
        </w:rPr>
        <w:t>it could happen here”</w:t>
      </w:r>
      <w:r>
        <w:t>.  All reports and concerns must be responded to appropriately, including those outside of school, and or online.</w:t>
      </w:r>
    </w:p>
    <w:p>
      <w:pPr>
        <w:spacing w:after="0"/>
      </w:pPr>
      <w:r>
        <w:t>Staff must be aware of the importance of:</w:t>
      </w:r>
    </w:p>
    <w:p>
      <w:pPr>
        <w:pStyle w:val="ListParagraph"/>
        <w:numPr>
          <w:ilvl w:val="0"/>
          <w:numId w:val="53"/>
        </w:numPr>
        <w:spacing w:after="0"/>
      </w:pPr>
      <w:r>
        <w:lastRenderedPageBreak/>
        <w:t>making clear that there is a zero-tolerance approach to sexual violence and sexual harassment and it is never acceptable, and it will not be tolerated and it should never be passed off as “banter, “part of growing up”, “just having a laugh” or “boys being boys”.</w:t>
      </w:r>
    </w:p>
    <w:p>
      <w:pPr>
        <w:pStyle w:val="ListParagraph"/>
        <w:numPr>
          <w:ilvl w:val="0"/>
          <w:numId w:val="53"/>
        </w:numPr>
        <w:spacing w:after="0"/>
      </w:pPr>
      <w:r>
        <w:t>Other children and staff should also be supported and protected as appropriate.</w:t>
      </w:r>
    </w:p>
    <w:p>
      <w:pPr>
        <w:pStyle w:val="ListParagraph"/>
        <w:numPr>
          <w:ilvl w:val="0"/>
          <w:numId w:val="54"/>
        </w:numPr>
        <w:spacing w:after="0"/>
      </w:pPr>
      <w:r>
        <w:t xml:space="preserve">challenging physical </w:t>
      </w:r>
      <w:proofErr w:type="spellStart"/>
      <w:r>
        <w:t>behaviour</w:t>
      </w:r>
      <w:proofErr w:type="spellEnd"/>
      <w:r>
        <w:t xml:space="preserve"> (potentially criminal in nature), such as grabbing bottoms, breasts and genitalia, pulling down trousers, flicking bras and lifting up skirts. Dismissing or tolerating such </w:t>
      </w:r>
      <w:proofErr w:type="spellStart"/>
      <w:r>
        <w:t>behaviour</w:t>
      </w:r>
      <w:proofErr w:type="spellEnd"/>
      <w:r>
        <w:t xml:space="preserve"> risks </w:t>
      </w:r>
      <w:proofErr w:type="spellStart"/>
      <w:r>
        <w:t>normalising</w:t>
      </w:r>
      <w:proofErr w:type="spellEnd"/>
      <w:r>
        <w:t xml:space="preserve"> them; and</w:t>
      </w:r>
    </w:p>
    <w:p>
      <w:pPr>
        <w:pStyle w:val="ListParagraph"/>
        <w:numPr>
          <w:ilvl w:val="0"/>
          <w:numId w:val="54"/>
        </w:numPr>
        <w:spacing w:after="0"/>
      </w:pPr>
      <w:r>
        <w:t xml:space="preserve">not </w:t>
      </w:r>
      <w:proofErr w:type="spellStart"/>
      <w:r>
        <w:t>recognising</w:t>
      </w:r>
      <w:proofErr w:type="spellEnd"/>
      <w:r>
        <w:t xml:space="preserve">, acknowledging or understanding the scale of harassment and abuse as it can lead to culture of unacceptable </w:t>
      </w:r>
      <w:proofErr w:type="spellStart"/>
      <w:r>
        <w:t>behaviour</w:t>
      </w:r>
      <w:proofErr w:type="spellEnd"/>
      <w:r>
        <w:t xml:space="preserve">, an unsafe environment and in worst case scenarios a culture that </w:t>
      </w:r>
      <w:proofErr w:type="spellStart"/>
      <w:r>
        <w:t>normalises</w:t>
      </w:r>
      <w:proofErr w:type="spellEnd"/>
      <w:r>
        <w:t xml:space="preserve"> abuse leading to children accepting it as normal and not coming forward to report it; and</w:t>
      </w:r>
    </w:p>
    <w:p>
      <w:pPr>
        <w:pStyle w:val="ListParagraph"/>
        <w:numPr>
          <w:ilvl w:val="0"/>
          <w:numId w:val="54"/>
        </w:numPr>
        <w:spacing w:after="120"/>
      </w:pPr>
      <w:r>
        <w:t>understanding that all of the above can be driven by wider societal factors beyond the school, such as everyday sexist stereotypes and everyday sexist language.  This is why a whole school approach (especially preventative education) is important.</w:t>
      </w:r>
    </w:p>
    <w:p>
      <w:pPr>
        <w:spacing w:after="0"/>
        <w:rPr>
          <w:szCs w:val="20"/>
        </w:rPr>
      </w:pPr>
      <w:r>
        <w:rPr>
          <w:szCs w:val="20"/>
        </w:rPr>
        <w:t>When supporting victims, staff will:</w:t>
      </w:r>
    </w:p>
    <w:p>
      <w:pPr>
        <w:numPr>
          <w:ilvl w:val="0"/>
          <w:numId w:val="11"/>
        </w:numPr>
        <w:spacing w:after="0"/>
        <w:rPr>
          <w:szCs w:val="20"/>
        </w:rPr>
      </w:pPr>
      <w:r>
        <w:rPr>
          <w:szCs w:val="20"/>
        </w:rPr>
        <w:t xml:space="preserve"> Reassure victims that the law on child-on-child abuse is there to protect them, not </w:t>
      </w:r>
      <w:proofErr w:type="spellStart"/>
      <w:r>
        <w:rPr>
          <w:szCs w:val="20"/>
        </w:rPr>
        <w:t>criminalise</w:t>
      </w:r>
      <w:proofErr w:type="spellEnd"/>
      <w:r>
        <w:rPr>
          <w:szCs w:val="20"/>
        </w:rPr>
        <w:t xml:space="preserve"> them. </w:t>
      </w:r>
    </w:p>
    <w:p>
      <w:pPr>
        <w:numPr>
          <w:ilvl w:val="0"/>
          <w:numId w:val="11"/>
        </w:numPr>
        <w:spacing w:after="0"/>
        <w:rPr>
          <w:szCs w:val="20"/>
        </w:rPr>
      </w:pPr>
      <w:r>
        <w:rPr>
          <w:szCs w:val="20"/>
        </w:rPr>
        <w:t xml:space="preserve"> Regularly review decisions and actions, and update policies with lessons learnt.</w:t>
      </w:r>
    </w:p>
    <w:p>
      <w:pPr>
        <w:numPr>
          <w:ilvl w:val="0"/>
          <w:numId w:val="11"/>
        </w:numPr>
        <w:spacing w:after="0"/>
        <w:rPr>
          <w:szCs w:val="20"/>
        </w:rPr>
      </w:pPr>
      <w:r>
        <w:rPr>
          <w:szCs w:val="20"/>
        </w:rPr>
        <w:t xml:space="preserve"> Look out for potential patterns of concerning, problematic or inappropriate </w:t>
      </w:r>
      <w:proofErr w:type="spellStart"/>
      <w:r>
        <w:rPr>
          <w:szCs w:val="20"/>
        </w:rPr>
        <w:t>behaviour</w:t>
      </w:r>
      <w:proofErr w:type="spellEnd"/>
      <w:r>
        <w:rPr>
          <w:szCs w:val="20"/>
        </w:rPr>
        <w:t xml:space="preserve">, and decide on a course of action where we identify any patterns. </w:t>
      </w:r>
    </w:p>
    <w:p>
      <w:pPr>
        <w:numPr>
          <w:ilvl w:val="0"/>
          <w:numId w:val="11"/>
        </w:numPr>
        <w:spacing w:after="0"/>
        <w:rPr>
          <w:szCs w:val="20"/>
        </w:rPr>
      </w:pPr>
      <w:r>
        <w:rPr>
          <w:szCs w:val="20"/>
        </w:rPr>
        <w:t xml:space="preserve"> Consider if there are wider cultural issues within the school that enabled inappropriate </w:t>
      </w:r>
      <w:proofErr w:type="spellStart"/>
      <w:r>
        <w:rPr>
          <w:szCs w:val="20"/>
        </w:rPr>
        <w:t>behaviour</w:t>
      </w:r>
      <w:proofErr w:type="spellEnd"/>
      <w:r>
        <w:rPr>
          <w:szCs w:val="20"/>
        </w:rPr>
        <w:t xml:space="preserve"> to occur and whether revising policies and/or providing extra staff training could </w:t>
      </w:r>
      <w:proofErr w:type="spellStart"/>
      <w:r>
        <w:rPr>
          <w:szCs w:val="20"/>
        </w:rPr>
        <w:t>minimise</w:t>
      </w:r>
      <w:proofErr w:type="spellEnd"/>
      <w:r>
        <w:rPr>
          <w:szCs w:val="20"/>
        </w:rPr>
        <w:t xml:space="preserve"> the risk of it happening again. </w:t>
      </w:r>
    </w:p>
    <w:p>
      <w:pPr>
        <w:numPr>
          <w:ilvl w:val="0"/>
          <w:numId w:val="11"/>
        </w:numPr>
        <w:spacing w:after="0"/>
        <w:rPr>
          <w:szCs w:val="20"/>
        </w:rPr>
      </w:pPr>
      <w:r>
        <w:rPr>
          <w:szCs w:val="20"/>
        </w:rPr>
        <w:t xml:space="preserve">Remain alert to the possible challenges of detecting signs that a child has experienced sexual violence, and show sensitivity to their needs. </w:t>
      </w:r>
    </w:p>
    <w:p>
      <w:pPr>
        <w:spacing w:after="0"/>
      </w:pPr>
    </w:p>
    <w:p>
      <w:pPr>
        <w:spacing w:after="0"/>
      </w:pPr>
      <w:r>
        <w:t xml:space="preserve">Children with Special Educational Needs and Disabilities (SEND) are three times more likely to be abused than their peers.  Additional barriers can sometimes exist when </w:t>
      </w:r>
      <w:proofErr w:type="spellStart"/>
      <w:r>
        <w:t>recognising</w:t>
      </w:r>
      <w:proofErr w:type="spellEnd"/>
      <w:r>
        <w:t xml:space="preserve"> abuse in SEND children.  These can include:</w:t>
      </w:r>
    </w:p>
    <w:p>
      <w:pPr>
        <w:pStyle w:val="ListParagraph"/>
        <w:numPr>
          <w:ilvl w:val="0"/>
          <w:numId w:val="55"/>
        </w:numPr>
        <w:spacing w:after="0"/>
      </w:pPr>
      <w:r>
        <w:t xml:space="preserve">assumptions that indicators of possible abuse such as </w:t>
      </w:r>
      <w:proofErr w:type="spellStart"/>
      <w:r>
        <w:t>behaviour</w:t>
      </w:r>
      <w:proofErr w:type="spellEnd"/>
      <w:r>
        <w:t>, mood and injury relate to the child’s disability without further exploration;</w:t>
      </w:r>
    </w:p>
    <w:p>
      <w:pPr>
        <w:pStyle w:val="ListParagraph"/>
        <w:numPr>
          <w:ilvl w:val="0"/>
          <w:numId w:val="55"/>
        </w:numPr>
        <w:spacing w:after="0"/>
      </w:pPr>
      <w:r>
        <w:t xml:space="preserve">the potential for children with SEND being disproportionately impacted by </w:t>
      </w:r>
      <w:proofErr w:type="spellStart"/>
      <w:r>
        <w:t>behaviours</w:t>
      </w:r>
      <w:proofErr w:type="spellEnd"/>
      <w:r>
        <w:t xml:space="preserve"> such as bullying and harassment, without outwardly showing any signs; and</w:t>
      </w:r>
    </w:p>
    <w:p>
      <w:pPr>
        <w:pStyle w:val="ListParagraph"/>
        <w:numPr>
          <w:ilvl w:val="0"/>
          <w:numId w:val="55"/>
        </w:numPr>
        <w:spacing w:after="0"/>
      </w:pPr>
      <w:r>
        <w:t>communication barriers and difficulty overcoming these barriers.</w:t>
      </w:r>
      <w:bookmarkStart w:id="53" w:name="_heading=h.2qhfmfoetqfy" w:colFirst="0" w:colLast="0"/>
      <w:bookmarkEnd w:id="53"/>
    </w:p>
    <w:p>
      <w:pPr>
        <w:pStyle w:val="Heading3"/>
      </w:pPr>
      <w:bookmarkStart w:id="54" w:name="_Toc172030617"/>
      <w:r>
        <w:t>12.11 Indicators of Abuse, Neglect and Exploitation</w:t>
      </w:r>
      <w:bookmarkEnd w:id="54"/>
    </w:p>
    <w:p>
      <w:pPr>
        <w:spacing w:before="120" w:after="0" w:line="276" w:lineRule="auto"/>
      </w:pPr>
      <w:r>
        <w:t>A child who is being abused, neglected or exploited may:</w:t>
      </w:r>
    </w:p>
    <w:p>
      <w:pPr>
        <w:numPr>
          <w:ilvl w:val="0"/>
          <w:numId w:val="17"/>
        </w:numPr>
        <w:spacing w:after="0" w:line="276" w:lineRule="auto"/>
      </w:pPr>
      <w:r>
        <w:t>have bruises, bleeding, burns, fractures or other injuries</w:t>
      </w:r>
    </w:p>
    <w:p>
      <w:pPr>
        <w:numPr>
          <w:ilvl w:val="0"/>
          <w:numId w:val="17"/>
        </w:numPr>
        <w:spacing w:after="0" w:line="276" w:lineRule="auto"/>
      </w:pPr>
      <w:r>
        <w:t>show signs of pain or discomfort</w:t>
      </w:r>
    </w:p>
    <w:p>
      <w:pPr>
        <w:numPr>
          <w:ilvl w:val="0"/>
          <w:numId w:val="17"/>
        </w:numPr>
        <w:spacing w:after="0" w:line="276" w:lineRule="auto"/>
      </w:pPr>
      <w:r>
        <w:t>keep arms and legs covered, even in warm weather</w:t>
      </w:r>
    </w:p>
    <w:p>
      <w:pPr>
        <w:numPr>
          <w:ilvl w:val="0"/>
          <w:numId w:val="17"/>
        </w:numPr>
        <w:spacing w:after="0" w:line="276" w:lineRule="auto"/>
      </w:pPr>
      <w:r>
        <w:t>be concerned about changing for PE or swimming</w:t>
      </w:r>
    </w:p>
    <w:p>
      <w:pPr>
        <w:numPr>
          <w:ilvl w:val="0"/>
          <w:numId w:val="17"/>
        </w:numPr>
        <w:spacing w:after="0" w:line="276" w:lineRule="auto"/>
      </w:pPr>
      <w:r>
        <w:t>look unkempt and uncared for</w:t>
      </w:r>
    </w:p>
    <w:p>
      <w:pPr>
        <w:numPr>
          <w:ilvl w:val="0"/>
          <w:numId w:val="17"/>
        </w:numPr>
        <w:spacing w:after="0" w:line="276" w:lineRule="auto"/>
      </w:pPr>
      <w:r>
        <w:t>change their eating habits</w:t>
      </w:r>
    </w:p>
    <w:p>
      <w:pPr>
        <w:numPr>
          <w:ilvl w:val="0"/>
          <w:numId w:val="17"/>
        </w:numPr>
        <w:spacing w:after="0" w:line="276" w:lineRule="auto"/>
      </w:pPr>
      <w:r>
        <w:t>have difficulty in making or sustaining friendships</w:t>
      </w:r>
    </w:p>
    <w:p>
      <w:pPr>
        <w:numPr>
          <w:ilvl w:val="0"/>
          <w:numId w:val="17"/>
        </w:numPr>
        <w:spacing w:after="0" w:line="276" w:lineRule="auto"/>
      </w:pPr>
      <w:r>
        <w:t>appear fearful</w:t>
      </w:r>
    </w:p>
    <w:p>
      <w:pPr>
        <w:numPr>
          <w:ilvl w:val="0"/>
          <w:numId w:val="17"/>
        </w:numPr>
        <w:spacing w:after="0" w:line="276" w:lineRule="auto"/>
      </w:pPr>
      <w:r>
        <w:t>be reckless with regard to their own or other’s safety</w:t>
      </w:r>
    </w:p>
    <w:p>
      <w:pPr>
        <w:numPr>
          <w:ilvl w:val="0"/>
          <w:numId w:val="17"/>
        </w:numPr>
        <w:spacing w:after="0" w:line="276" w:lineRule="auto"/>
      </w:pPr>
      <w:r>
        <w:t>self-harm</w:t>
      </w:r>
    </w:p>
    <w:p>
      <w:pPr>
        <w:numPr>
          <w:ilvl w:val="0"/>
          <w:numId w:val="17"/>
        </w:numPr>
        <w:spacing w:after="0" w:line="276" w:lineRule="auto"/>
      </w:pPr>
      <w:r>
        <w:t>frequently miss school, arrive late or leave the school for part of the day</w:t>
      </w:r>
    </w:p>
    <w:p>
      <w:pPr>
        <w:numPr>
          <w:ilvl w:val="0"/>
          <w:numId w:val="17"/>
        </w:numPr>
        <w:spacing w:after="0" w:line="276" w:lineRule="auto"/>
      </w:pPr>
      <w:r>
        <w:t>show signs of not wanting to go home</w:t>
      </w:r>
    </w:p>
    <w:p>
      <w:pPr>
        <w:numPr>
          <w:ilvl w:val="0"/>
          <w:numId w:val="17"/>
        </w:numPr>
        <w:spacing w:after="0" w:line="276" w:lineRule="auto"/>
      </w:pPr>
      <w:r>
        <w:t xml:space="preserve">display a change in </w:t>
      </w:r>
      <w:proofErr w:type="spellStart"/>
      <w:r>
        <w:t>behaviour</w:t>
      </w:r>
      <w:proofErr w:type="spellEnd"/>
      <w:r>
        <w:t xml:space="preserve"> – from quiet to aggressive, or happy-go-lucky to withdrawn</w:t>
      </w:r>
    </w:p>
    <w:p>
      <w:pPr>
        <w:numPr>
          <w:ilvl w:val="0"/>
          <w:numId w:val="17"/>
        </w:numPr>
        <w:spacing w:after="0" w:line="276" w:lineRule="auto"/>
      </w:pPr>
      <w:r>
        <w:t>challenge authority</w:t>
      </w:r>
    </w:p>
    <w:p>
      <w:pPr>
        <w:numPr>
          <w:ilvl w:val="0"/>
          <w:numId w:val="17"/>
        </w:numPr>
        <w:spacing w:after="0" w:line="276" w:lineRule="auto"/>
      </w:pPr>
      <w:r>
        <w:lastRenderedPageBreak/>
        <w:t>become disinterested in their school work</w:t>
      </w:r>
    </w:p>
    <w:p>
      <w:pPr>
        <w:numPr>
          <w:ilvl w:val="0"/>
          <w:numId w:val="17"/>
        </w:numPr>
        <w:spacing w:after="0" w:line="276" w:lineRule="auto"/>
      </w:pPr>
      <w:r>
        <w:t>be constantly tired or preoccupied</w:t>
      </w:r>
    </w:p>
    <w:p>
      <w:pPr>
        <w:numPr>
          <w:ilvl w:val="0"/>
          <w:numId w:val="17"/>
        </w:numPr>
        <w:spacing w:after="0" w:line="276" w:lineRule="auto"/>
      </w:pPr>
      <w:r>
        <w:t>be wary of physical contact</w:t>
      </w:r>
    </w:p>
    <w:p>
      <w:pPr>
        <w:numPr>
          <w:ilvl w:val="0"/>
          <w:numId w:val="17"/>
        </w:numPr>
        <w:spacing w:after="0" w:line="276" w:lineRule="auto"/>
      </w:pPr>
      <w:r>
        <w:t>be involved in, or particularly knowledgeable about drugs or alcohol</w:t>
      </w:r>
    </w:p>
    <w:p>
      <w:pPr>
        <w:numPr>
          <w:ilvl w:val="0"/>
          <w:numId w:val="17"/>
        </w:numPr>
        <w:spacing w:after="0" w:line="276" w:lineRule="auto"/>
      </w:pPr>
      <w:r>
        <w:t xml:space="preserve">display sexual knowledge or </w:t>
      </w:r>
      <w:proofErr w:type="spellStart"/>
      <w:r>
        <w:t>behaviour</w:t>
      </w:r>
      <w:proofErr w:type="spellEnd"/>
      <w:r>
        <w:t xml:space="preserve"> beyond that normally expected for their age</w:t>
      </w:r>
    </w:p>
    <w:p>
      <w:pPr>
        <w:numPr>
          <w:ilvl w:val="0"/>
          <w:numId w:val="17"/>
        </w:numPr>
        <w:spacing w:after="240" w:line="276" w:lineRule="auto"/>
      </w:pPr>
      <w:r>
        <w:t>acquire gifts such as money or a mobile phone from new ‘friends’</w:t>
      </w:r>
    </w:p>
    <w:p>
      <w:pPr>
        <w:spacing w:before="240" w:after="240"/>
        <w:ind w:right="220"/>
      </w:pPr>
      <w:r>
        <w:t xml:space="preserve">Individual indicators will rarely, in isolation, provide conclusive evidence of abuse. They should be viewed as part of a jigsaw, and each small piece of information will help the DSL/DDSL to decide how to proceed.  Children may not feel ready or know how to tell someone that they are being abused, exploited, or neglected, and/or they may not </w:t>
      </w:r>
      <w:proofErr w:type="spellStart"/>
      <w:r>
        <w:t>recognise</w:t>
      </w:r>
      <w:proofErr w:type="spellEnd"/>
      <w:r>
        <w:t xml:space="preserve"> their experiences as harmful.  For example, children may feel embarrassed, humiliated, or being threatened.  This could be due to their vulnerability, disability and/or sexual orientation or language barriers.  </w:t>
      </w:r>
    </w:p>
    <w:p>
      <w:pPr>
        <w:spacing w:before="240" w:after="240"/>
        <w:ind w:right="220"/>
      </w:pPr>
      <w:r>
        <w:t>This should not prevent staff from having a professional curiosity and speaking to the DSL/DDSL if they have concerns about a child.  It is also important that staff determine how best to build trusted relationships with children and young people which facilitate communication.</w:t>
      </w:r>
    </w:p>
    <w:p>
      <w:pPr>
        <w:spacing w:before="240" w:after="240"/>
        <w:ind w:right="220"/>
      </w:pPr>
      <w:r>
        <w:t>It is very important that staff report their concerns – they do not need ‘absolute proof’ that the child is at risk.  It is the responsibility of staff to report their concerns. It is not their responsibility to investigate or decide whether a child has been abused.</w:t>
      </w:r>
    </w:p>
    <w:p>
      <w:pPr>
        <w:pStyle w:val="Heading3"/>
      </w:pPr>
      <w:bookmarkStart w:id="55" w:name="_heading=h.8b44n13hzmmx" w:colFirst="0" w:colLast="0"/>
      <w:bookmarkStart w:id="56" w:name="_Toc172030618"/>
      <w:bookmarkEnd w:id="55"/>
      <w:r>
        <w:t>12.12 Impact of Abuse, Neglect and Exploitation</w:t>
      </w:r>
      <w:bookmarkEnd w:id="56"/>
    </w:p>
    <w:p>
      <w:pPr>
        <w:widowControl w:val="0"/>
        <w:spacing w:before="120" w:after="0" w:line="240" w:lineRule="auto"/>
      </w:pPr>
      <w:r>
        <w:t xml:space="preserve">The impact of child abuse, neglect and exploitation should not be underestimated. Many children do recover well and go on to lead healthy, happy and productive lives, although most adult survivors agree that the emotional scars remain, however well buried. For some children, full recovery is beyond their reach, and the rest of their childhood and their adulthood may be </w:t>
      </w:r>
      <w:proofErr w:type="spellStart"/>
      <w:r>
        <w:t>characterised</w:t>
      </w:r>
      <w:proofErr w:type="spellEnd"/>
      <w:r>
        <w:t xml:space="preserve"> by anxiety or depression, self-harm, eating disorders, alcohol and substance misuse, unequal and destructive relationships and long-term medical or psychiatric difficulties. </w:t>
      </w:r>
      <w:bookmarkStart w:id="57" w:name="_heading=h.jydx7r2qlsgo" w:colFirst="0" w:colLast="0"/>
      <w:bookmarkEnd w:id="57"/>
    </w:p>
    <w:p>
      <w:pPr>
        <w:pStyle w:val="Heading2"/>
        <w:rPr>
          <w:sz w:val="28"/>
        </w:rPr>
      </w:pPr>
      <w:bookmarkStart w:id="58" w:name="_Toc172030619"/>
      <w:r>
        <w:rPr>
          <w:sz w:val="28"/>
        </w:rPr>
        <w:t>13. Contextual Safeguarding</w:t>
      </w:r>
      <w:bookmarkEnd w:id="58"/>
      <w:r>
        <w:rPr>
          <w:sz w:val="28"/>
        </w:rPr>
        <w:t xml:space="preserve"> </w:t>
      </w:r>
    </w:p>
    <w:p>
      <w:pPr>
        <w:widowControl w:val="0"/>
        <w:spacing w:after="0" w:line="240" w:lineRule="auto"/>
      </w:pPr>
      <w:r>
        <w:t xml:space="preserve">All staff should be aware that safeguarding incidents and/or </w:t>
      </w:r>
      <w:proofErr w:type="spellStart"/>
      <w:r>
        <w:t>behaviours</w:t>
      </w:r>
      <w:proofErr w:type="spellEnd"/>
      <w:r>
        <w:t xml:space="preserve"> can be associated with factors outside the school and/or can occur between children outside of our school. All staff, but especially the designated and deputy safeguarding leads should consider whether children are at risk of abuse or exploitation in situations outside their families. </w:t>
      </w:r>
    </w:p>
    <w:p>
      <w:pPr>
        <w:widowControl w:val="0"/>
        <w:spacing w:after="0" w:line="240" w:lineRule="auto"/>
      </w:pPr>
    </w:p>
    <w:p>
      <w:pPr>
        <w:widowControl w:val="0"/>
        <w:spacing w:after="0" w:line="240" w:lineRule="auto"/>
      </w:pPr>
      <w:r>
        <w:t xml:space="preserve">Risk and harm outside of the family can take a variety of different forms and children can be vulnerable to sexual exploitation, criminal exploitation, and serious youth violence in addition to other risks. </w:t>
      </w:r>
    </w:p>
    <w:p>
      <w:pPr>
        <w:widowControl w:val="0"/>
        <w:spacing w:after="0" w:line="240" w:lineRule="auto"/>
      </w:pPr>
    </w:p>
    <w:p>
      <w:pPr>
        <w:widowControl w:val="0"/>
        <w:spacing w:after="0" w:line="240" w:lineRule="auto"/>
      </w:pPr>
      <w:r>
        <w:t xml:space="preserve">As a school, we will consider the various factors that can impact the life of any pupil about whom we have concerns. We will consider the level of influence that these factors have on their ability to be protected and remain free from harm, particularly around child exploitation or criminal activity. </w:t>
      </w:r>
    </w:p>
    <w:p>
      <w:pPr>
        <w:widowControl w:val="0"/>
        <w:spacing w:after="0" w:line="240" w:lineRule="auto"/>
      </w:pPr>
    </w:p>
    <w:p>
      <w:pPr>
        <w:widowControl w:val="0"/>
        <w:spacing w:after="0" w:line="240" w:lineRule="auto"/>
      </w:pPr>
      <w:r>
        <w:t xml:space="preserve">What life is like for a child outside the school gates, within the home, within the family and within the community are key considerations when the DSL is looking at any concerns. </w:t>
      </w:r>
    </w:p>
    <w:p>
      <w:pPr>
        <w:pStyle w:val="Heading3"/>
      </w:pPr>
      <w:bookmarkStart w:id="59" w:name="_Toc172030620"/>
      <w:r>
        <w:t>13.1 County Lines</w:t>
      </w:r>
      <w:bookmarkEnd w:id="59"/>
    </w:p>
    <w:p>
      <w:pPr>
        <w:spacing w:after="0"/>
      </w:pPr>
      <w:r>
        <w:t xml:space="preserve">County Lines is a term used to describe gangs and </w:t>
      </w:r>
      <w:proofErr w:type="spellStart"/>
      <w:r>
        <w:t>organised</w:t>
      </w:r>
      <w:proofErr w:type="spellEnd"/>
      <w:r>
        <w:t xml:space="preserve"> criminal networks involved in exporting illegal drugs using dedicated mobile phones lines or other form of “deal line”.  This can happen locally as well as across the UK.  Children and vulnerable adults are exploited to move, store and sell drugs and money.  </w:t>
      </w:r>
      <w:r>
        <w:lastRenderedPageBreak/>
        <w:t>Offenders will use coercion, intimidation, violence (including sexual violence) and weapons to ensure compliance of victims.</w:t>
      </w:r>
    </w:p>
    <w:p>
      <w:pPr>
        <w:spacing w:after="0"/>
      </w:pPr>
      <w:r>
        <w:t xml:space="preserve"> </w:t>
      </w:r>
    </w:p>
    <w:p>
      <w:pPr>
        <w:widowControl w:val="0"/>
        <w:spacing w:after="0" w:line="240" w:lineRule="auto"/>
      </w:pPr>
      <w:r>
        <w:t>Children are increasingly being targeted and recruited online using social media.  A number of the indicators for CSE and CCE may be applicable to where children are involved in county lines.  Some additional specific indicators of involvement in county lines are children who:</w:t>
      </w:r>
    </w:p>
    <w:p>
      <w:pPr>
        <w:widowControl w:val="0"/>
        <w:spacing w:after="0" w:line="240" w:lineRule="auto"/>
      </w:pPr>
      <w:r>
        <w:t xml:space="preserve"> </w:t>
      </w:r>
    </w:p>
    <w:p>
      <w:pPr>
        <w:pStyle w:val="ListParagraph"/>
        <w:widowControl w:val="0"/>
        <w:numPr>
          <w:ilvl w:val="0"/>
          <w:numId w:val="99"/>
        </w:numPr>
        <w:spacing w:after="0" w:line="240" w:lineRule="auto"/>
      </w:pPr>
      <w:r>
        <w:t>Go missing and subsequently found in areas away from their home;</w:t>
      </w:r>
    </w:p>
    <w:p>
      <w:pPr>
        <w:pStyle w:val="ListParagraph"/>
        <w:widowControl w:val="0"/>
        <w:numPr>
          <w:ilvl w:val="0"/>
          <w:numId w:val="99"/>
        </w:numPr>
        <w:spacing w:after="0" w:line="240" w:lineRule="auto"/>
      </w:pPr>
      <w:r>
        <w:t>Have been the victim or perpetrator of serious violence (e.g. knife crime);</w:t>
      </w:r>
    </w:p>
    <w:p>
      <w:pPr>
        <w:numPr>
          <w:ilvl w:val="0"/>
          <w:numId w:val="34"/>
        </w:numPr>
        <w:spacing w:after="0"/>
      </w:pPr>
      <w:r>
        <w:t>Are involved in receiving requests for drugs via a phone line, moving drugs, handing over and collecting money for drugs;</w:t>
      </w:r>
    </w:p>
    <w:p>
      <w:pPr>
        <w:numPr>
          <w:ilvl w:val="0"/>
          <w:numId w:val="34"/>
        </w:numPr>
        <w:spacing w:after="0"/>
      </w:pPr>
      <w:r>
        <w:t>Are exposed to techniques such as “plugging”, where drugs are concealed internally to avoid detection;</w:t>
      </w:r>
    </w:p>
    <w:p>
      <w:pPr>
        <w:numPr>
          <w:ilvl w:val="0"/>
          <w:numId w:val="34"/>
        </w:numPr>
        <w:spacing w:after="0"/>
      </w:pPr>
      <w:r>
        <w:t>Are found in accommodation that they have no connection with, often called a “trap house” or cuckooing” or hotel room where there is drug activity;</w:t>
      </w:r>
    </w:p>
    <w:p>
      <w:pPr>
        <w:numPr>
          <w:ilvl w:val="0"/>
          <w:numId w:val="34"/>
        </w:numPr>
        <w:spacing w:after="0"/>
      </w:pPr>
      <w:r>
        <w:t>Owe a “debt bond” to their exploiters;</w:t>
      </w:r>
    </w:p>
    <w:p>
      <w:pPr>
        <w:numPr>
          <w:ilvl w:val="0"/>
          <w:numId w:val="34"/>
        </w:numPr>
        <w:spacing w:after="200"/>
      </w:pPr>
      <w:r>
        <w:t>Have their bank accounts used to facilitate drug dealing.</w:t>
      </w:r>
    </w:p>
    <w:p>
      <w:pPr>
        <w:pStyle w:val="Heading3"/>
      </w:pPr>
      <w:bookmarkStart w:id="60" w:name="_Toc172030621"/>
      <w:r>
        <w:t>13.2 Serious Gang Violence</w:t>
      </w:r>
      <w:bookmarkEnd w:id="60"/>
      <w:r>
        <w:t xml:space="preserve"> </w:t>
      </w:r>
    </w:p>
    <w:p>
      <w:pPr>
        <w:spacing w:after="0"/>
      </w:pPr>
      <w:r>
        <w:t xml:space="preserve">All staff should be aware of the indicators, which may signal children are at risk from, or are involved with, serious violent crime. These may include increased absence from school or college, a change in friendships or relationships with older individuals or groups, a significant decline in educational performance, signs of </w:t>
      </w:r>
      <w:proofErr w:type="spellStart"/>
      <w:r>
        <w:t>self harm</w:t>
      </w:r>
      <w:proofErr w:type="spellEnd"/>
      <w:r>
        <w:t xml:space="preserve">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  </w:t>
      </w:r>
    </w:p>
    <w:p>
      <w:pPr>
        <w:pStyle w:val="Heading3"/>
      </w:pPr>
      <w:bookmarkStart w:id="61" w:name="_Toc172030622"/>
      <w:r>
        <w:t>13.3 Modern Slavery</w:t>
      </w:r>
      <w:bookmarkEnd w:id="61"/>
      <w:r>
        <w:t xml:space="preserve"> </w:t>
      </w:r>
    </w:p>
    <w:p>
      <w:pPr>
        <w:spacing w:after="0"/>
      </w:pPr>
      <w:r>
        <w:t xml:space="preserve">Modern Slavery and the National Referral Mechanism Modern slavery encompasses human trafficking and slavery, servitude and forced or compulsory </w:t>
      </w:r>
      <w:proofErr w:type="spellStart"/>
      <w:r>
        <w:t>labour</w:t>
      </w:r>
      <w:proofErr w:type="spellEnd"/>
      <w:r>
        <w:t xml:space="preserve">. Exploitation can take many forms, including sexual exploitation, forced </w:t>
      </w:r>
      <w:proofErr w:type="spellStart"/>
      <w:r>
        <w:t>labour</w:t>
      </w:r>
      <w:proofErr w:type="spellEnd"/>
      <w:r>
        <w:t>, slavery, servitude, forced criminality and the removal of organs. Further information on the signs that someone may be a victim of modern slavery, the support available to victims and how to refer them to the NRM is available in Statutory Guidance. Modern slavery: how to identify and support victims - GOV.UK</w:t>
      </w:r>
    </w:p>
    <w:p>
      <w:pPr>
        <w:pStyle w:val="Heading3"/>
      </w:pPr>
      <w:bookmarkStart w:id="62" w:name="_Toc172030623"/>
      <w:r>
        <w:t>13.4 Female Genital Mutilation</w:t>
      </w:r>
      <w:bookmarkEnd w:id="62"/>
      <w:r>
        <w:t xml:space="preserve"> </w:t>
      </w:r>
    </w:p>
    <w:p>
      <w:r>
        <w:t>Keeping Children Safe in Education explains that FGM comprises “all procedures involving partial or total removal of the external female genitalia, or other injury to the female genital organs”. FGM is illegal in the UK and a form of child abuse with long-lasting, harmful consequences. It is also known as ‘female genital cutting’, ‘circumcision’ or ‘initiation’.</w:t>
      </w:r>
    </w:p>
    <w:p>
      <w: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pPr>
        <w:spacing w:after="0"/>
      </w:pPr>
      <w:r>
        <w:t>Any teacher who either:</w:t>
      </w:r>
    </w:p>
    <w:p>
      <w:pPr>
        <w:pStyle w:val="ListParagraph"/>
        <w:numPr>
          <w:ilvl w:val="0"/>
          <w:numId w:val="51"/>
        </w:numPr>
        <w:spacing w:after="0"/>
      </w:pPr>
      <w:r>
        <w:t xml:space="preserve">Is informed by a girl under 18 that an act of FGM has been carried out on her; or </w:t>
      </w:r>
    </w:p>
    <w:p>
      <w:pPr>
        <w:pStyle w:val="ListParagraph"/>
        <w:numPr>
          <w:ilvl w:val="0"/>
          <w:numId w:val="51"/>
        </w:numPr>
        <w:spacing w:after="0"/>
      </w:pPr>
      <w:r>
        <w:t>discovers that FGM appears to have been carried out on a girl under 18</w:t>
      </w:r>
    </w:p>
    <w:p>
      <w:pPr>
        <w:spacing w:after="0"/>
      </w:pPr>
      <w:r>
        <w:t xml:space="preserve">must immediately report this to the police, personally, with support from the DSL/DDSL.  This is a </w:t>
      </w:r>
      <w:r>
        <w:rPr>
          <w:u w:val="single"/>
        </w:rPr>
        <w:t>mandatory statutory duty for teachers</w:t>
      </w:r>
      <w:r>
        <w:t xml:space="preserve"> Section 5B of the Female Genital Mutilation Act 2003 and teachers will face disciplinary sanctions for failing to meet it. The duty for teachers mentioned above does not apply in cases </w:t>
      </w:r>
      <w:r>
        <w:lastRenderedPageBreak/>
        <w:t>where a pupil is at risk of FGM or FGM is suspected but is not known to have been carried out. Staff should not examine pupils.</w:t>
      </w:r>
    </w:p>
    <w:p>
      <w:pPr>
        <w:spacing w:after="0"/>
      </w:pPr>
    </w:p>
    <w:p>
      <w:pPr>
        <w:spacing w:after="0"/>
      </w:pPr>
      <w:r>
        <w:t>Any other member of staff who discovers or suspects that an act of FGM appears to have been carried out on a pupil under 18 must speak to the DSL who will follow our local safeguarding procedures.</w:t>
      </w:r>
    </w:p>
    <w:p>
      <w:pPr>
        <w:spacing w:after="0"/>
      </w:pPr>
    </w:p>
    <w:p>
      <w:pPr>
        <w:spacing w:after="0"/>
      </w:pPr>
      <w:r>
        <w:t xml:space="preserve">The indicators of FGM may initially mirror those of sexual abuse.  </w:t>
      </w:r>
    </w:p>
    <w:p>
      <w:pPr>
        <w:spacing w:after="0"/>
      </w:pPr>
      <w:r>
        <w:t xml:space="preserve">You may notice, for example: </w:t>
      </w:r>
    </w:p>
    <w:p>
      <w:pPr>
        <w:pStyle w:val="ListParagraph"/>
        <w:numPr>
          <w:ilvl w:val="0"/>
          <w:numId w:val="51"/>
        </w:numPr>
        <w:spacing w:after="0"/>
      </w:pPr>
      <w:r>
        <w:t xml:space="preserve">that a girl or young woman shows signs of pain or discomfort, needs to visit the toilet constantly, has vaginal blood loss or is unable to sit comfortably.  </w:t>
      </w:r>
    </w:p>
    <w:p>
      <w:pPr>
        <w:pStyle w:val="ListParagraph"/>
        <w:numPr>
          <w:ilvl w:val="0"/>
          <w:numId w:val="51"/>
        </w:numPr>
        <w:spacing w:after="0"/>
      </w:pPr>
      <w:r>
        <w:t xml:space="preserve">She may make excuses to avoid PE and other physical activity </w:t>
      </w:r>
      <w:r>
        <w:rPr>
          <w:color w:val="00B050"/>
        </w:rPr>
        <w:t>or refuse to access the school showers.</w:t>
      </w:r>
    </w:p>
    <w:p>
      <w:pPr>
        <w:pStyle w:val="ListParagraph"/>
        <w:numPr>
          <w:ilvl w:val="0"/>
          <w:numId w:val="51"/>
        </w:numPr>
        <w:spacing w:after="0"/>
      </w:pPr>
      <w:r>
        <w:t xml:space="preserve">She may also become evasive or fearful if you enquire if she is unwell, and assure you that she is fine when she clearly is not.  </w:t>
      </w:r>
    </w:p>
    <w:p>
      <w:pPr>
        <w:pStyle w:val="ListParagraph"/>
        <w:numPr>
          <w:ilvl w:val="0"/>
          <w:numId w:val="51"/>
        </w:numPr>
        <w:spacing w:after="0"/>
      </w:pPr>
      <w:r>
        <w:t xml:space="preserve">If she is a BME (Been Missing in Education) child, has recently arrived back from a “holiday” abroad or a period of absence from school, seems to be in pain and has not been taken by her family to a GP, you should consider FGM, alongside other possible explanations.  </w:t>
      </w:r>
    </w:p>
    <w:p>
      <w:pPr>
        <w:spacing w:after="0"/>
      </w:pPr>
    </w:p>
    <w:p>
      <w:pPr>
        <w:spacing w:after="0"/>
      </w:pPr>
      <w:r>
        <w:t>Further information on FGM can be found here, including a world map:</w:t>
      </w:r>
    </w:p>
    <w:p>
      <w:pPr>
        <w:spacing w:after="0"/>
      </w:pPr>
      <w:r>
        <w:t xml:space="preserve"> </w:t>
      </w:r>
      <w:hyperlink r:id="rId53" w:history="1">
        <w:r>
          <w:rPr>
            <w:rStyle w:val="Hyperlink"/>
          </w:rPr>
          <w:t>https://www.nspcc.org.uk/preventing-abuse/child-abuse-and-neglect/female-genital-mutilation-fgm</w:t>
        </w:r>
      </w:hyperlink>
      <w:r>
        <w:t xml:space="preserve"> </w:t>
      </w:r>
    </w:p>
    <w:p>
      <w:pPr>
        <w:spacing w:after="0"/>
      </w:pPr>
      <w:hyperlink r:id="rId54" w:history="1">
        <w:r>
          <w:rPr>
            <w:rStyle w:val="Hyperlink"/>
          </w:rPr>
          <w:t>https://nationalfgmcentre.org.uk/wp-content/uploads/2016/10/Hard-Copy-Map.pdf</w:t>
        </w:r>
      </w:hyperlink>
      <w:r>
        <w:t xml:space="preserve"> </w:t>
      </w:r>
    </w:p>
    <w:p>
      <w:pPr>
        <w:pStyle w:val="Heading3"/>
      </w:pPr>
      <w:bookmarkStart w:id="63" w:name="_Toc172030624"/>
      <w:r>
        <w:t xml:space="preserve">13.5 Preventing </w:t>
      </w:r>
      <w:proofErr w:type="spellStart"/>
      <w:r>
        <w:t>Radicalisation</w:t>
      </w:r>
      <w:bookmarkEnd w:id="63"/>
      <w:proofErr w:type="spellEnd"/>
    </w:p>
    <w:p>
      <w:pPr>
        <w:shd w:val="clear" w:color="auto" w:fill="FFFFFF" w:themeFill="background1"/>
        <w:rPr>
          <w:iCs/>
        </w:rPr>
      </w:pPr>
      <w:r>
        <w:rPr>
          <w:iCs/>
        </w:rPr>
        <w:t xml:space="preserve">The government released a </w:t>
      </w:r>
      <w:bookmarkStart w:id="64" w:name="_Hlk203396411"/>
      <w:r>
        <w:rPr>
          <w:iCs/>
        </w:rPr>
        <w:t xml:space="preserve">new </w:t>
      </w:r>
      <w:hyperlink r:id="rId55" w:anchor="the-definition" w:history="1">
        <w:r>
          <w:rPr>
            <w:rStyle w:val="Hyperlink"/>
            <w:iCs/>
          </w:rPr>
          <w:t>definition of extremism</w:t>
        </w:r>
      </w:hyperlink>
      <w:r>
        <w:rPr>
          <w:iCs/>
        </w:rPr>
        <w:t xml:space="preserve"> new definition of extremism </w:t>
      </w:r>
      <w:bookmarkEnd w:id="64"/>
      <w:r>
        <w:rPr>
          <w:iCs/>
        </w:rPr>
        <w:t xml:space="preserve">on the 14 March 2024. </w:t>
      </w:r>
    </w:p>
    <w:p>
      <w:pPr>
        <w:spacing w:after="0" w:line="240" w:lineRule="auto"/>
      </w:pPr>
      <w:r>
        <w:t xml:space="preserve">Children may be susceptible to </w:t>
      </w:r>
      <w:proofErr w:type="spellStart"/>
      <w:r>
        <w:t>radicalisation</w:t>
      </w:r>
      <w:proofErr w:type="spellEnd"/>
      <w:r>
        <w:t xml:space="preserve"> into terrorism. Similar to protecting children from other forms of harms and abuse, protecting children from this risk is a vital part of our safeguarding approach. </w:t>
      </w:r>
    </w:p>
    <w:p>
      <w:pPr>
        <w:spacing w:after="0" w:line="240" w:lineRule="auto"/>
      </w:pPr>
    </w:p>
    <w:p>
      <w:pPr>
        <w:pStyle w:val="Heading4"/>
        <w:spacing w:before="0"/>
      </w:pPr>
      <w:r>
        <w:t xml:space="preserve">Extremism </w:t>
      </w:r>
    </w:p>
    <w:p>
      <w:pPr>
        <w:spacing w:after="0" w:line="240" w:lineRule="auto"/>
      </w:pPr>
      <w:r>
        <w:t>Extremism is the promotion or advancement of an ideology based on violence, hatred or intolerance, that aims to:</w:t>
      </w:r>
    </w:p>
    <w:p>
      <w:pPr>
        <w:pStyle w:val="ListParagraph"/>
        <w:numPr>
          <w:ilvl w:val="0"/>
          <w:numId w:val="105"/>
        </w:numPr>
        <w:spacing w:after="0" w:line="240" w:lineRule="auto"/>
      </w:pPr>
      <w:r>
        <w:t>negate or destroy the fundamental rights and freedoms of others; or</w:t>
      </w:r>
    </w:p>
    <w:p>
      <w:pPr>
        <w:pStyle w:val="ListParagraph"/>
        <w:numPr>
          <w:ilvl w:val="0"/>
          <w:numId w:val="105"/>
        </w:numPr>
        <w:spacing w:after="0" w:line="240" w:lineRule="auto"/>
      </w:pPr>
      <w:r>
        <w:t>undermine, overturn or replace the UK’s system of liberal parliamentary democracy[footnote 6] and democratic rights; or</w:t>
      </w:r>
    </w:p>
    <w:p>
      <w:pPr>
        <w:pStyle w:val="ListParagraph"/>
        <w:numPr>
          <w:ilvl w:val="0"/>
          <w:numId w:val="105"/>
        </w:numPr>
        <w:spacing w:after="0" w:line="240" w:lineRule="auto"/>
      </w:pPr>
      <w:r>
        <w:t>intentionally create a permissive environment for others to achieve the results in (1) or (2).</w:t>
      </w:r>
    </w:p>
    <w:p>
      <w:pPr>
        <w:spacing w:after="0" w:line="240" w:lineRule="auto"/>
      </w:pPr>
    </w:p>
    <w:p>
      <w:pPr>
        <w:spacing w:after="0" w:line="240" w:lineRule="auto"/>
      </w:pPr>
      <w:r>
        <w:t xml:space="preserve">The types of </w:t>
      </w:r>
      <w:proofErr w:type="spellStart"/>
      <w:r>
        <w:t>behaviour</w:t>
      </w:r>
      <w:proofErr w:type="spellEnd"/>
      <w:r>
        <w:t xml:space="preserve"> below are indicative of the kind of promotion or advancement which may be relevant to the definition, and are an important guide to its application. The further context below is also an essential part of the definition.</w:t>
      </w:r>
    </w:p>
    <w:p>
      <w:pPr>
        <w:pStyle w:val="Heading4"/>
        <w:spacing w:before="0"/>
      </w:pPr>
    </w:p>
    <w:p>
      <w:pPr>
        <w:pStyle w:val="Heading4"/>
        <w:spacing w:before="0"/>
      </w:pPr>
      <w:r>
        <w:t xml:space="preserve">Terrorism </w:t>
      </w:r>
    </w:p>
    <w:p>
      <w:pPr>
        <w:spacing w:after="0" w:line="240" w:lineRule="auto"/>
      </w:pPr>
      <w:r>
        <w:t xml:space="preserve">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Although there is no single way of identifying whether a child is likely to be susceptible to </w:t>
      </w:r>
      <w:proofErr w:type="spellStart"/>
      <w:r>
        <w:t>radicalisation</w:t>
      </w:r>
      <w:proofErr w:type="spellEnd"/>
      <w:r>
        <w:t xml:space="preserve"> into terrorism, there are factors that may indicate concern.</w:t>
      </w:r>
    </w:p>
    <w:p>
      <w:pPr>
        <w:spacing w:after="0" w:line="240" w:lineRule="auto"/>
      </w:pPr>
    </w:p>
    <w:p>
      <w:pPr>
        <w:spacing w:line="240" w:lineRule="auto"/>
      </w:pPr>
      <w:r>
        <w:t xml:space="preserve">It is possible to protect people from extremist ideology and intervene to prevent those at risk of </w:t>
      </w:r>
      <w:proofErr w:type="spellStart"/>
      <w:r>
        <w:t>radicalisation</w:t>
      </w:r>
      <w:proofErr w:type="spellEnd"/>
      <w:r>
        <w:t xml:space="preserve"> being drawn to terrorism. As with other safeguarding risks, staff should be alert to changes in children’s </w:t>
      </w:r>
      <w:proofErr w:type="spellStart"/>
      <w:r>
        <w:t>behaviour</w:t>
      </w:r>
      <w:proofErr w:type="spellEnd"/>
      <w:r>
        <w:t xml:space="preserve">, which could indicate that they may be in need of help or protection. Staff should use their judgement in identifying children who might be at risk of </w:t>
      </w:r>
      <w:proofErr w:type="spellStart"/>
      <w:r>
        <w:t>radicalisation</w:t>
      </w:r>
      <w:proofErr w:type="spellEnd"/>
      <w:r>
        <w:t xml:space="preserve"> and act proportionately by following the school safeguarding policy when concerned about a student.  This may lead to the designated safeguarding lead (or a deputy) making a Prevent referral. </w:t>
      </w:r>
    </w:p>
    <w:p>
      <w:pPr>
        <w:pStyle w:val="Heading4"/>
        <w:spacing w:before="0"/>
      </w:pPr>
      <w:r>
        <w:lastRenderedPageBreak/>
        <w:t xml:space="preserve">The Prevent duty </w:t>
      </w:r>
    </w:p>
    <w:p>
      <w:r>
        <w:t xml:space="preserve">All schools and colleges are subject to a duty under section 26 of the Counter- Terrorism and Security Act 2015, in the exercise of their functions, to have “due regard to the need to prevent people from becoming terrorists or supporting terrorism”.   This duty is known as the Prevent duty and is a part of our wider safeguarding obligations. </w:t>
      </w:r>
    </w:p>
    <w:p>
      <w:r>
        <w:t xml:space="preserve">Designated safeguarding leads (and deputies) must </w:t>
      </w:r>
      <w:proofErr w:type="spellStart"/>
      <w:r>
        <w:t>familiarise</w:t>
      </w:r>
      <w:proofErr w:type="spellEnd"/>
      <w:r>
        <w:t xml:space="preserve"> themselves with the revised Prevent duty guidance: for England and Wales, especially paragraphs 141-210. The guidance is set out in terms of three general themes: leadership and partnership, capabilities and reducing permissive environments. </w:t>
      </w:r>
    </w:p>
    <w:p>
      <w:r>
        <w:t xml:space="preserve">If you have a concern regarding extremism or </w:t>
      </w:r>
      <w:proofErr w:type="spellStart"/>
      <w:r>
        <w:t>radicalisation</w:t>
      </w:r>
      <w:proofErr w:type="spellEnd"/>
      <w:r>
        <w:t>, please follow the referral guidance set out in</w:t>
      </w:r>
      <w:r>
        <w:rPr>
          <w:highlight w:val="green"/>
        </w:rPr>
        <w:t xml:space="preserve"> </w:t>
      </w:r>
      <w:r>
        <w:rPr>
          <w:b/>
          <w:bCs/>
        </w:rPr>
        <w:t>Part Three – Taking Action page 29.</w:t>
      </w:r>
      <w:r>
        <w:t xml:space="preserve"> 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Inform the DSL or deputy as soon as practically possible after the referral.</w:t>
      </w:r>
    </w:p>
    <w:p>
      <w:r>
        <w:t xml:space="preserve">Where there is a concern, the DSL will consider the level of risk and decide which agency to make a referral to. This could include the police or Channel, the government’s </w:t>
      </w:r>
      <w:proofErr w:type="spellStart"/>
      <w:r>
        <w:t>programme</w:t>
      </w:r>
      <w:proofErr w:type="spellEnd"/>
      <w:r>
        <w:t xml:space="preserve"> for identifying and supporting individuals at risk of becoming involved with or supporting terrorism, or the local authority children’s social care team.</w:t>
      </w:r>
    </w:p>
    <w:p>
      <w:r>
        <w:t xml:space="preserve">The DfE also has a dedicated telephone helpline, </w:t>
      </w:r>
      <w:r>
        <w:rPr>
          <w:b/>
          <w:bCs/>
        </w:rPr>
        <w:t>020 7340 7264</w:t>
      </w:r>
      <w:r>
        <w:t xml:space="preserve">, which school staff and governors can call to raise concerns about extremism with respect to a pupil. You can also email </w:t>
      </w:r>
      <w:r>
        <w:rPr>
          <w:u w:val="single"/>
        </w:rPr>
        <w:t>counter.extremism@education.gov.uk</w:t>
      </w:r>
      <w:r>
        <w:t>. Note that this is not for use in emergency situations.</w:t>
      </w:r>
    </w:p>
    <w:p>
      <w:pPr>
        <w:spacing w:after="0"/>
      </w:pPr>
      <w:r>
        <w:t xml:space="preserve">In an emergency, call 999 or the confidential anti-terrorist hotline on </w:t>
      </w:r>
      <w:r>
        <w:rPr>
          <w:b/>
          <w:bCs/>
        </w:rPr>
        <w:t>0800 789 321</w:t>
      </w:r>
      <w:r>
        <w:t xml:space="preserve"> if you:</w:t>
      </w:r>
    </w:p>
    <w:p>
      <w:pPr>
        <w:numPr>
          <w:ilvl w:val="0"/>
          <w:numId w:val="14"/>
        </w:numPr>
        <w:spacing w:after="0"/>
      </w:pPr>
      <w:r>
        <w:t>Think someone is in immediate danger</w:t>
      </w:r>
    </w:p>
    <w:p>
      <w:pPr>
        <w:numPr>
          <w:ilvl w:val="0"/>
          <w:numId w:val="14"/>
        </w:numPr>
        <w:spacing w:after="0"/>
      </w:pPr>
      <w:r>
        <w:t>Think someone may be planning to travel to join an extremist group</w:t>
      </w:r>
    </w:p>
    <w:p>
      <w:pPr>
        <w:numPr>
          <w:ilvl w:val="0"/>
          <w:numId w:val="14"/>
        </w:numPr>
        <w:spacing w:after="0"/>
      </w:pPr>
      <w:r>
        <w:t>See or hear something that may be terrorist-related</w:t>
      </w:r>
    </w:p>
    <w:p>
      <w:pPr>
        <w:spacing w:after="0"/>
        <w:rPr>
          <w:highlight w:val="green"/>
        </w:rPr>
      </w:pPr>
    </w:p>
    <w:p>
      <w:pPr>
        <w:pStyle w:val="Heading4"/>
        <w:spacing w:before="0"/>
      </w:pPr>
      <w:r>
        <w:t xml:space="preserve">Channel </w:t>
      </w:r>
    </w:p>
    <w:p>
      <w:pPr>
        <w:spacing w:after="0"/>
      </w:pPr>
      <w:r>
        <w:t xml:space="preserve">Channel is a voluntary, confidential support </w:t>
      </w:r>
      <w:proofErr w:type="spellStart"/>
      <w:r>
        <w:t>programme</w:t>
      </w:r>
      <w:proofErr w:type="spellEnd"/>
      <w:r>
        <w:t xml:space="preserve"> which focuses on providing support at an early stage to people who are identified as being susceptible to being drawn into terrorism.</w:t>
      </w:r>
    </w:p>
    <w:p>
      <w:pPr>
        <w:spacing w:after="0"/>
      </w:pPr>
    </w:p>
    <w:p>
      <w:pPr>
        <w:spacing w:after="0"/>
      </w:pPr>
      <w:r>
        <w:t xml:space="preserve">Prevent referrals are assessed and may be passed to a multiagency Channel panel, which will discuss the individual referred to determine whether they are at risk of being drawn into terrorism and consider the appropriate support required. A representative from the school may be asked to attend the Channel panel to help with this assessment. An individual will be required to provide their consent before any support delivered through the </w:t>
      </w:r>
      <w:proofErr w:type="spellStart"/>
      <w:r>
        <w:t>programme</w:t>
      </w:r>
      <w:proofErr w:type="spellEnd"/>
      <w:r>
        <w:t xml:space="preserve"> is provided. The designated safeguarding lead (or a deputy) should consider if it would be appropriate to share any information with the new school or college in advance of a child leaving. For example, information that would allow the new school or college to continue supporting victims of abuse or those who are currently receiving support through the ‘Channel’ </w:t>
      </w:r>
      <w:proofErr w:type="spellStart"/>
      <w:r>
        <w:t>programme</w:t>
      </w:r>
      <w:proofErr w:type="spellEnd"/>
      <w:r>
        <w:t xml:space="preserve"> and have that support in place for when the child arrives. Statutory guidance on Channel is available at: Channel guidance and Channel training from the Home Office. </w:t>
      </w:r>
    </w:p>
    <w:p>
      <w:bookmarkStart w:id="65" w:name="_heading=h.ewnoh0gdjs22" w:colFirst="0" w:colLast="0"/>
      <w:bookmarkEnd w:id="65"/>
    </w:p>
    <w:p>
      <w:pPr>
        <w:pStyle w:val="Heading1"/>
        <w:spacing w:before="0" w:after="0"/>
        <w:rPr>
          <w:color w:val="FF0000"/>
          <w:sz w:val="28"/>
          <w:szCs w:val="28"/>
        </w:rPr>
      </w:pPr>
      <w:bookmarkStart w:id="66" w:name="_Toc172030625"/>
      <w:r>
        <w:rPr>
          <w:color w:val="FF0000"/>
          <w:sz w:val="28"/>
          <w:szCs w:val="28"/>
        </w:rPr>
        <w:t xml:space="preserve">Part 2B - Competent: </w:t>
      </w:r>
      <w:proofErr w:type="spellStart"/>
      <w:r>
        <w:rPr>
          <w:color w:val="FF0000"/>
          <w:sz w:val="28"/>
          <w:szCs w:val="28"/>
        </w:rPr>
        <w:t>Recognising</w:t>
      </w:r>
      <w:proofErr w:type="spellEnd"/>
      <w:r>
        <w:rPr>
          <w:color w:val="FF0000"/>
          <w:sz w:val="28"/>
          <w:szCs w:val="28"/>
        </w:rPr>
        <w:t xml:space="preserve"> the Risks from Online Activity</w:t>
      </w:r>
      <w:bookmarkEnd w:id="66"/>
      <w:r>
        <w:rPr>
          <w:color w:val="FF0000"/>
          <w:sz w:val="28"/>
          <w:szCs w:val="28"/>
        </w:rPr>
        <w:t xml:space="preserve">  </w:t>
      </w:r>
    </w:p>
    <w:p>
      <w:pPr>
        <w:pStyle w:val="Heading3"/>
      </w:pPr>
      <w:bookmarkStart w:id="67" w:name="_heading=h.pdlu3ps29h0m" w:colFirst="0" w:colLast="0"/>
      <w:bookmarkStart w:id="68" w:name="_Toc172030626"/>
      <w:bookmarkEnd w:id="67"/>
      <w:r>
        <w:t>14.1 Online safety and the use of mobile technology</w:t>
      </w:r>
      <w:bookmarkEnd w:id="68"/>
    </w:p>
    <w:p>
      <w:r>
        <w:t xml:space="preserve">We </w:t>
      </w:r>
      <w:proofErr w:type="spellStart"/>
      <w:r>
        <w:t>recognise</w:t>
      </w:r>
      <w:proofErr w:type="spellEnd"/>
      <w:r>
        <w:t xml:space="preserve"> the importance of safeguarding children from potentially harmful and inappropriate online material, and we understand that technology is a significant component in many safeguarding and wellbeing issues. This section below </w:t>
      </w:r>
      <w:proofErr w:type="spellStart"/>
      <w:r>
        <w:t>summarises</w:t>
      </w:r>
      <w:proofErr w:type="spellEnd"/>
      <w:r>
        <w:t xml:space="preserve"> our approach to online safety and mobile phone use. For full details </w:t>
      </w:r>
      <w:r>
        <w:lastRenderedPageBreak/>
        <w:t xml:space="preserve">about our school’s policies in these areas, please refer to our online safety policy (including the use of mobile phone policies) which can be found on our website </w:t>
      </w:r>
      <w:hyperlink r:id="rId56" w:history="1">
        <w:r>
          <w:rPr>
            <w:rStyle w:val="Hyperlink"/>
          </w:rPr>
          <w:t>https://www.highfieldceprimaryschool.co.uk/page/?title=Our+Policies&amp;pid=29</w:t>
        </w:r>
      </w:hyperlink>
      <w:r>
        <w:rPr>
          <w:color w:val="00B050"/>
        </w:rPr>
        <w:t xml:space="preserve"> </w:t>
      </w:r>
    </w:p>
    <w:p>
      <w:pPr>
        <w:spacing w:after="80"/>
      </w:pPr>
      <w:r>
        <w:t>Our school aims to:</w:t>
      </w:r>
    </w:p>
    <w:p>
      <w:pPr>
        <w:numPr>
          <w:ilvl w:val="0"/>
          <w:numId w:val="25"/>
        </w:numPr>
        <w:spacing w:after="0"/>
      </w:pPr>
      <w:r>
        <w:t>Have robust processes (including filtering and monitoring systems) in place to ensure the online safety of pupils, staff, volunteers and governors.</w:t>
      </w:r>
    </w:p>
    <w:p>
      <w:pPr>
        <w:numPr>
          <w:ilvl w:val="0"/>
          <w:numId w:val="25"/>
        </w:numPr>
        <w:spacing w:after="0"/>
      </w:pPr>
      <w:r>
        <w:t>Protect and educate the whole school community in its safe and responsible use of technology, including mobile and smart technology (which we refer to as ‘mobile phones’).</w:t>
      </w:r>
    </w:p>
    <w:p>
      <w:pPr>
        <w:numPr>
          <w:ilvl w:val="0"/>
          <w:numId w:val="25"/>
        </w:numPr>
        <w:spacing w:after="0"/>
      </w:pPr>
      <w:r>
        <w:t>Set clear guidelines for the use of mobile phones for the whole school community.</w:t>
      </w:r>
    </w:p>
    <w:p>
      <w:pPr>
        <w:numPr>
          <w:ilvl w:val="0"/>
          <w:numId w:val="25"/>
        </w:numPr>
      </w:pPr>
      <w:r>
        <w:t>Establish clear mechanisms to identify, intervene in and escalate any incidents or concerns, where appropriate.</w:t>
      </w:r>
    </w:p>
    <w:p>
      <w:pPr>
        <w:numPr>
          <w:ilvl w:val="0"/>
          <w:numId w:val="25"/>
        </w:numPr>
      </w:pPr>
      <w:r>
        <w:t xml:space="preserve">Ensure we have the appropriate level of security protection procedures in place in order to safeguard our systems, staff and learners and review the effectiveness of these procedures periodically to keep up with evolving </w:t>
      </w:r>
      <w:hyperlink r:id="rId57" w:history="1">
        <w:r>
          <w:rPr>
            <w:rStyle w:val="Hyperlink"/>
          </w:rPr>
          <w:t>cyber-crime technologies</w:t>
        </w:r>
      </w:hyperlink>
      <w:r>
        <w:t>.</w:t>
      </w:r>
    </w:p>
    <w:p>
      <w:pPr>
        <w:pStyle w:val="Heading4"/>
      </w:pPr>
      <w:r>
        <w:t>The 4 key categories of risk</w:t>
      </w:r>
    </w:p>
    <w:p>
      <w:pPr>
        <w:spacing w:after="80"/>
      </w:pPr>
      <w:r>
        <w:t>Our approach to online safety is based on addressing the following categories of risk:</w:t>
      </w:r>
    </w:p>
    <w:p>
      <w:pPr>
        <w:numPr>
          <w:ilvl w:val="0"/>
          <w:numId w:val="49"/>
        </w:numPr>
        <w:spacing w:after="80"/>
      </w:pPr>
      <w:r>
        <w:rPr>
          <w:b/>
          <w:bCs/>
        </w:rPr>
        <w:t>Content</w:t>
      </w:r>
      <w:r>
        <w:t xml:space="preserve"> – being exposed to illegal, inappropriate, or harmful content, for example: pornography, racism, misogyny, self-harm, suicide, anti-Semitism, </w:t>
      </w:r>
      <w:proofErr w:type="spellStart"/>
      <w:r>
        <w:t>radicalisation</w:t>
      </w:r>
      <w:proofErr w:type="spellEnd"/>
      <w:r>
        <w:t>, extremism, misinformation, disinformation (including fake news) and conspiracy theories.</w:t>
      </w:r>
    </w:p>
    <w:p>
      <w:pPr>
        <w:numPr>
          <w:ilvl w:val="0"/>
          <w:numId w:val="49"/>
        </w:numPr>
        <w:spacing w:after="0"/>
      </w:pPr>
      <w:r>
        <w:rPr>
          <w:b/>
          <w:bCs/>
        </w:rPr>
        <w:t>Contact</w:t>
      </w:r>
      <w: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pPr>
        <w:numPr>
          <w:ilvl w:val="0"/>
          <w:numId w:val="49"/>
        </w:numPr>
        <w:spacing w:after="0"/>
      </w:pPr>
      <w:r>
        <w:rPr>
          <w:b/>
          <w:bCs/>
        </w:rPr>
        <w:t>Conduct</w:t>
      </w:r>
      <w:r>
        <w:t xml:space="preserve"> – personal online </w:t>
      </w:r>
      <w:proofErr w:type="spellStart"/>
      <w:r>
        <w:t>behaviour</w:t>
      </w:r>
      <w:proofErr w:type="spellEnd"/>
      <w:r>
        <w:t xml:space="preserve"> that increases the likelihood of, or causes, harm, such as making, sending and receiving explicit images (e.g. consensual and non-consensual sharing of nudes and semi-nudes and/or pornography), sharing other explicit images and online bullying; and </w:t>
      </w:r>
    </w:p>
    <w:p>
      <w:pPr>
        <w:numPr>
          <w:ilvl w:val="0"/>
          <w:numId w:val="49"/>
        </w:numPr>
      </w:pPr>
      <w:r>
        <w:rPr>
          <w:b/>
          <w:bCs/>
        </w:rPr>
        <w:t>Commerce</w:t>
      </w:r>
      <w:r>
        <w:t xml:space="preserve"> – risks such as online gambling, inappropriate advertising, phishing and/or financial scams.</w:t>
      </w:r>
    </w:p>
    <w:p>
      <w:r>
        <w:t>To meet our aims and address the risks above, we will:</w:t>
      </w:r>
    </w:p>
    <w:p>
      <w:pPr>
        <w:numPr>
          <w:ilvl w:val="0"/>
          <w:numId w:val="21"/>
        </w:numPr>
        <w:spacing w:after="0"/>
      </w:pPr>
      <w:r>
        <w:t xml:space="preserve"> Educate pupils about online safety as part of our curriculum. For example:</w:t>
      </w:r>
    </w:p>
    <w:p>
      <w:pPr>
        <w:numPr>
          <w:ilvl w:val="1"/>
          <w:numId w:val="21"/>
        </w:numPr>
        <w:spacing w:after="0"/>
      </w:pPr>
      <w:r>
        <w:t>The safe use of social media, the internet and technology</w:t>
      </w:r>
    </w:p>
    <w:p>
      <w:pPr>
        <w:numPr>
          <w:ilvl w:val="1"/>
          <w:numId w:val="21"/>
        </w:numPr>
        <w:spacing w:after="0"/>
      </w:pPr>
      <w:r>
        <w:t>Keeping personal information private</w:t>
      </w:r>
    </w:p>
    <w:p>
      <w:pPr>
        <w:numPr>
          <w:ilvl w:val="1"/>
          <w:numId w:val="21"/>
        </w:numPr>
        <w:spacing w:after="0"/>
      </w:pPr>
      <w:r>
        <w:t xml:space="preserve">How to </w:t>
      </w:r>
      <w:proofErr w:type="spellStart"/>
      <w:r>
        <w:t>recognise</w:t>
      </w:r>
      <w:proofErr w:type="spellEnd"/>
      <w:r>
        <w:t xml:space="preserve"> unacceptable </w:t>
      </w:r>
      <w:proofErr w:type="spellStart"/>
      <w:r>
        <w:t>behaviour</w:t>
      </w:r>
      <w:proofErr w:type="spellEnd"/>
      <w:r>
        <w:t xml:space="preserve"> online</w:t>
      </w:r>
    </w:p>
    <w:p>
      <w:pPr>
        <w:numPr>
          <w:ilvl w:val="1"/>
          <w:numId w:val="21"/>
        </w:numPr>
        <w:spacing w:after="0"/>
      </w:pPr>
      <w:r>
        <w:t>How to report any incidents of cyber-bullying, ensuring pupils are encouraged to do so</w:t>
      </w:r>
    </w:p>
    <w:p>
      <w:pPr>
        <w:numPr>
          <w:ilvl w:val="0"/>
          <w:numId w:val="21"/>
        </w:numPr>
        <w:spacing w:after="0"/>
      </w:pPr>
      <w:r>
        <w:t xml:space="preserve">Train staff, as part of their induction, on safe internet use and online safeguarding issues including cyber-bullying, the risks of online </w:t>
      </w:r>
      <w:proofErr w:type="spellStart"/>
      <w:r>
        <w:t>radicalisation</w:t>
      </w:r>
      <w:proofErr w:type="spellEnd"/>
      <w:r>
        <w:t>, and the expectations, roles and responsibilities around filtering and monitoring. All staff members will receive refresher training as required and at least once each academic year</w:t>
      </w:r>
    </w:p>
    <w:p>
      <w:pPr>
        <w:numPr>
          <w:ilvl w:val="0"/>
          <w:numId w:val="21"/>
        </w:numPr>
        <w:spacing w:after="0"/>
      </w:pPr>
      <w:r>
        <w:t>Educate parents/</w:t>
      </w:r>
      <w:proofErr w:type="spellStart"/>
      <w:r>
        <w:t>carers</w:t>
      </w:r>
      <w:proofErr w:type="spellEnd"/>
      <w:r>
        <w:t xml:space="preserve"> about online safety via our website, communications sent directly to them and during parents’ evenings. We will also share clear procedures with them so they know how to raise concerns about online safety</w:t>
      </w:r>
    </w:p>
    <w:p>
      <w:pPr>
        <w:numPr>
          <w:ilvl w:val="0"/>
          <w:numId w:val="21"/>
        </w:numPr>
        <w:spacing w:after="0"/>
      </w:pPr>
      <w:r>
        <w:t>Make sure staff are aware of any restrictions placed on them with regards to the use of their mobile phone and cameras, for example that:</w:t>
      </w:r>
    </w:p>
    <w:p>
      <w:pPr>
        <w:numPr>
          <w:ilvl w:val="1"/>
          <w:numId w:val="21"/>
        </w:numPr>
        <w:spacing w:after="0"/>
      </w:pPr>
      <w:r>
        <w:t>Staff are allowed to bring their personal phones to school for their own use, but will limit such use to non-contact time when pupils are not present</w:t>
      </w:r>
    </w:p>
    <w:p>
      <w:pPr>
        <w:numPr>
          <w:ilvl w:val="1"/>
          <w:numId w:val="21"/>
        </w:numPr>
        <w:spacing w:after="0"/>
      </w:pPr>
      <w:r>
        <w:t>Staff will not take pictures or recordings of pupils on their personal phones or cameras</w:t>
      </w:r>
    </w:p>
    <w:p>
      <w:pPr>
        <w:numPr>
          <w:ilvl w:val="0"/>
          <w:numId w:val="21"/>
        </w:numPr>
        <w:spacing w:after="0"/>
      </w:pPr>
      <w:r>
        <w:lastRenderedPageBreak/>
        <w:t>Make all pupils, parents/</w:t>
      </w:r>
      <w:proofErr w:type="spellStart"/>
      <w:r>
        <w:t>carers</w:t>
      </w:r>
      <w:proofErr w:type="spellEnd"/>
      <w:r>
        <w:t>, staff, volunteers and governors aware that they are expected to sign an agreement regarding the acceptable use of the internet in school, use of the school’s ICT systems and use of their mobile and smart technology.</w:t>
      </w:r>
    </w:p>
    <w:p>
      <w:pPr>
        <w:numPr>
          <w:ilvl w:val="0"/>
          <w:numId w:val="21"/>
        </w:numPr>
        <w:spacing w:after="0"/>
      </w:pPr>
      <w:r>
        <w:t xml:space="preserve">Explain the sanctions we will use if a pupil is in breach of our policies on the acceptable use of the internet and mobile phones. </w:t>
      </w:r>
    </w:p>
    <w:p>
      <w:pPr>
        <w:numPr>
          <w:ilvl w:val="0"/>
          <w:numId w:val="21"/>
        </w:numPr>
        <w:spacing w:after="0"/>
      </w:pPr>
      <w:r>
        <w:t>Make sure all staff, pupils and parents/</w:t>
      </w:r>
      <w:proofErr w:type="spellStart"/>
      <w:r>
        <w:t>carers</w:t>
      </w:r>
      <w:proofErr w:type="spellEnd"/>
      <w:r>
        <w:t xml:space="preserve"> are aware that staff have the power to search pupils’ phones, as set out in the DfE’s guidance on searching, screening and confiscation. </w:t>
      </w:r>
    </w:p>
    <w:p>
      <w:pPr>
        <w:numPr>
          <w:ilvl w:val="0"/>
          <w:numId w:val="21"/>
        </w:numPr>
        <w:spacing w:after="0"/>
      </w:pPr>
      <w:r>
        <w:t xml:space="preserve">Put in place robust filtering and monitoring systems to limit children’s exposure to the 4 key categories of risk (described above) from the school’s IT systems. </w:t>
      </w:r>
    </w:p>
    <w:p>
      <w:pPr>
        <w:numPr>
          <w:ilvl w:val="0"/>
          <w:numId w:val="21"/>
        </w:numPr>
        <w:spacing w:after="0"/>
      </w:pPr>
      <w:r>
        <w:t>Understand that social media is likely to play a role in the fall-out from any incident or alleged incident, including for potential contact between the victim, alleged perpetrator(s) and friends from either side.</w:t>
      </w:r>
    </w:p>
    <w:p>
      <w:pPr>
        <w:numPr>
          <w:ilvl w:val="0"/>
          <w:numId w:val="21"/>
        </w:numPr>
        <w:spacing w:after="0"/>
      </w:pPr>
      <w:r>
        <w:t>Carry out an annual review of our approach to online safety, supported by an annual risk assessment that considers and reflects the risks faced by our school community.</w:t>
      </w:r>
    </w:p>
    <w:p>
      <w:pPr>
        <w:numPr>
          <w:ilvl w:val="0"/>
          <w:numId w:val="21"/>
        </w:numPr>
        <w:spacing w:after="0"/>
      </w:pPr>
      <w:r>
        <w:t>Provide regular safeguarding and children protection updates including online safety to all staff, at least annually, in order to continue to provide them with the relevant skills and knowledge to safeguard effectively.</w:t>
      </w:r>
    </w:p>
    <w:p>
      <w:pPr>
        <w:numPr>
          <w:ilvl w:val="0"/>
          <w:numId w:val="21"/>
        </w:numPr>
      </w:pPr>
      <w:r>
        <w:t>Review the child protection and safeguarding policy, including online safety, annually and ensure the procedures and implementation are updated and reviewed regularly.</w:t>
      </w:r>
    </w:p>
    <w:p>
      <w:pPr>
        <w:pStyle w:val="Heading3"/>
      </w:pPr>
      <w:bookmarkStart w:id="69" w:name="_heading=h.wl46cba5b83i" w:colFirst="0" w:colLast="0"/>
      <w:bookmarkStart w:id="70" w:name="_Toc172030627"/>
      <w:bookmarkEnd w:id="69"/>
      <w:r>
        <w:t>14.2 Filtering and Monitoring</w:t>
      </w:r>
      <w:bookmarkEnd w:id="70"/>
      <w:r>
        <w:t xml:space="preserve"> </w:t>
      </w:r>
    </w:p>
    <w:p>
      <w:r>
        <w:t xml:space="preserve">Governing bodies and proprietors should ensure the school has appropriate filtering and monitoring systems in place and regularly review their effectiveness, in line with the DfE’s filtering and monitoring standards. They should ensure that the leadership team and relevant staff have an awareness and understanding of the provisions in place and manage them effectively and know how to escalate concerns when identified (see online Safety Policy for further details). </w:t>
      </w:r>
    </w:p>
    <w:p>
      <w:pPr>
        <w:pStyle w:val="Heading3"/>
      </w:pPr>
      <w:bookmarkStart w:id="71" w:name="_heading=h.wqb8qovz25cd" w:colFirst="0" w:colLast="0"/>
      <w:bookmarkStart w:id="72" w:name="_Toc172030628"/>
      <w:bookmarkEnd w:id="71"/>
      <w:r>
        <w:t>14.3 Artificial intelligence (AI)</w:t>
      </w:r>
      <w:bookmarkEnd w:id="72"/>
    </w:p>
    <w:p>
      <w:r>
        <w:t>Generative artificial intelligence (AI) tools are now widespread and easy to access. Staff, pupils and parents/</w:t>
      </w:r>
      <w:proofErr w:type="spellStart"/>
      <w:r>
        <w:t>carers</w:t>
      </w:r>
      <w:proofErr w:type="spellEnd"/>
      <w:r>
        <w:t xml:space="preserve"> may be familiar with generative chatbots such as </w:t>
      </w:r>
      <w:proofErr w:type="spellStart"/>
      <w:r>
        <w:t>ChatGPT</w:t>
      </w:r>
      <w:proofErr w:type="spellEnd"/>
      <w:r>
        <w:t xml:space="preserve"> and Google Bard.</w:t>
      </w:r>
    </w:p>
    <w:p>
      <w:proofErr w:type="spellStart"/>
      <w:r>
        <w:t>Highfield</w:t>
      </w:r>
      <w:proofErr w:type="spellEnd"/>
      <w:r>
        <w:t xml:space="preserve"> CE Primary </w:t>
      </w:r>
      <w:proofErr w:type="gramStart"/>
      <w:r>
        <w:t xml:space="preserve">School  </w:t>
      </w:r>
      <w:proofErr w:type="spellStart"/>
      <w:r>
        <w:t>recognises</w:t>
      </w:r>
      <w:proofErr w:type="spellEnd"/>
      <w:proofErr w:type="gramEnd"/>
      <w:r>
        <w:t xml:space="preserve">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proofErr w:type="spellStart"/>
      <w:proofErr w:type="gramStart"/>
      <w:r>
        <w:t>Highfield</w:t>
      </w:r>
      <w:proofErr w:type="spellEnd"/>
      <w:r>
        <w:t xml:space="preserve">  will</w:t>
      </w:r>
      <w:proofErr w:type="gramEnd"/>
      <w:r>
        <w:t xml:space="preserve"> treat any use of AI to access harmful content or bully pupils in line with this policy and our anti-bullying/</w:t>
      </w:r>
      <w:proofErr w:type="spellStart"/>
      <w:r>
        <w:t>behaviour</w:t>
      </w:r>
      <w:proofErr w:type="spellEnd"/>
      <w:r>
        <w:t xml:space="preserve"> policy. The Department has published </w:t>
      </w:r>
      <w:hyperlink r:id="rId58" w:history="1">
        <w:r>
          <w:rPr>
            <w:rStyle w:val="Hyperlink"/>
            <w:color w:val="auto"/>
          </w:rPr>
          <w:t>Generative AI: product safety expectations</w:t>
        </w:r>
      </w:hyperlink>
      <w:r>
        <w:t xml:space="preserve"> to support schools to use generative artificial intelligence safely.</w:t>
      </w:r>
    </w:p>
    <w:p>
      <w:r>
        <w:t>Staff should be aware of the risks of using AI tools whilst they are still being developed and should carry out risk assessments for any new AI tool being used by the school.</w:t>
      </w:r>
      <w:bookmarkStart w:id="73" w:name="_heading=h.qcxtk6jvmdlr" w:colFirst="0" w:colLast="0"/>
      <w:bookmarkEnd w:id="73"/>
    </w:p>
    <w:p>
      <w:pPr>
        <w:pStyle w:val="Heading3"/>
      </w:pPr>
      <w:bookmarkStart w:id="74" w:name="_heading=h.ecgl4qc4m0zw" w:colFirst="0" w:colLast="0"/>
      <w:bookmarkStart w:id="75" w:name="_Toc172030629"/>
      <w:bookmarkEnd w:id="74"/>
      <w:r>
        <w:t>14.4 Sharing of nudes and semi-nudes (‘sexting’)</w:t>
      </w:r>
      <w:bookmarkEnd w:id="75"/>
      <w:r>
        <w:t xml:space="preserve"> </w:t>
      </w:r>
    </w:p>
    <w:p>
      <w:pPr>
        <w:spacing w:after="0"/>
      </w:pPr>
      <w:r>
        <w:t xml:space="preserve">If you are made aware of an incident involving the consensual or non-consensual sharing of nude or semi-nude images/videos, including pseudo-images, which are computer-generated images that otherwise appear to be a photograph or video (also known as ‘sexting’ or ‘youth produced sexual imagery’), you must report it to the DSL immediately. </w:t>
      </w:r>
    </w:p>
    <w:p>
      <w:pPr>
        <w:spacing w:before="120" w:after="80"/>
      </w:pPr>
      <w:r>
        <w:t xml:space="preserve">You must not: </w:t>
      </w:r>
    </w:p>
    <w:p>
      <w:pPr>
        <w:numPr>
          <w:ilvl w:val="0"/>
          <w:numId w:val="43"/>
        </w:numPr>
        <w:spacing w:after="0"/>
      </w:pPr>
      <w:r>
        <w:lastRenderedPageBreak/>
        <w:t>View, copy, print, share, store or save the imagery yourself, or ask a pupil to share or download it (if you have already viewed the imagery by accident, you must report this to the DSL)</w:t>
      </w:r>
    </w:p>
    <w:p>
      <w:pPr>
        <w:numPr>
          <w:ilvl w:val="0"/>
          <w:numId w:val="43"/>
        </w:numPr>
        <w:spacing w:after="0"/>
      </w:pPr>
      <w:r>
        <w:t>Delete the imagery or ask the pupil to delete it</w:t>
      </w:r>
    </w:p>
    <w:p>
      <w:pPr>
        <w:numPr>
          <w:ilvl w:val="0"/>
          <w:numId w:val="43"/>
        </w:numPr>
        <w:spacing w:after="0"/>
      </w:pPr>
      <w:r>
        <w:t xml:space="preserve">Ask the pupil(s) who are involved in the incident to disclose information regarding the imagery (this is the DSL’s responsibility) </w:t>
      </w:r>
    </w:p>
    <w:p>
      <w:pPr>
        <w:numPr>
          <w:ilvl w:val="0"/>
          <w:numId w:val="43"/>
        </w:numPr>
        <w:spacing w:after="0"/>
      </w:pPr>
      <w:r>
        <w:t xml:space="preserve">Share information about the incident with other members of staff, the pupil(s) it involves or their, or other, parents and/or </w:t>
      </w:r>
      <w:proofErr w:type="spellStart"/>
      <w:r>
        <w:t>carers</w:t>
      </w:r>
      <w:proofErr w:type="spellEnd"/>
    </w:p>
    <w:p>
      <w:pPr>
        <w:numPr>
          <w:ilvl w:val="0"/>
          <w:numId w:val="43"/>
        </w:numPr>
        <w:spacing w:after="0"/>
      </w:pPr>
      <w:r>
        <w:t>Say or do anything to blame or shame any young people involved</w:t>
      </w:r>
    </w:p>
    <w:p>
      <w:pPr>
        <w:spacing w:after="0"/>
      </w:pPr>
    </w:p>
    <w:p>
      <w:pPr>
        <w:spacing w:before="120" w:after="80"/>
      </w:pPr>
      <w:r>
        <w:t xml:space="preserve">The DSL will make an immediate referral to police and/or children’s social care if: </w:t>
      </w:r>
    </w:p>
    <w:p>
      <w:pPr>
        <w:numPr>
          <w:ilvl w:val="0"/>
          <w:numId w:val="3"/>
        </w:numPr>
        <w:spacing w:after="0"/>
      </w:pPr>
      <w:r>
        <w:t>The incident involves an adult. Where an adult poses as a child to groom or exploit a child or young person, the incident may first present as a child-on-child incident. See appendix 4 for more information on assessing adult-involved incidents</w:t>
      </w:r>
    </w:p>
    <w:p>
      <w:pPr>
        <w:numPr>
          <w:ilvl w:val="0"/>
          <w:numId w:val="3"/>
        </w:numPr>
        <w:spacing w:after="0"/>
      </w:pPr>
      <w:r>
        <w:t>There is reason to believe that a young person has been coerced, blackmailed or groomed, or if there are concerns about their capacity to consent (for example, owing to SEN)</w:t>
      </w:r>
    </w:p>
    <w:p>
      <w:pPr>
        <w:numPr>
          <w:ilvl w:val="0"/>
          <w:numId w:val="3"/>
        </w:numPr>
        <w:spacing w:after="0"/>
      </w:pPr>
      <w:r>
        <w:t>What the DSL knows about the images or videos suggests the content depicts sexual acts which are unusual for the young person’s developmental stage, or are violent</w:t>
      </w:r>
    </w:p>
    <w:p>
      <w:pPr>
        <w:numPr>
          <w:ilvl w:val="0"/>
          <w:numId w:val="3"/>
        </w:numPr>
        <w:spacing w:after="0"/>
      </w:pPr>
      <w:r>
        <w:t>The imagery involves sexual acts and any pupil in the images or videos is under 13</w:t>
      </w:r>
    </w:p>
    <w:p>
      <w:pPr>
        <w:numPr>
          <w:ilvl w:val="0"/>
          <w:numId w:val="3"/>
        </w:numPr>
      </w:pPr>
      <w:r>
        <w:t>The DSL has reason to believe a pupil is at immediate risk of harm owing to the sharing of nudes and semi-nudes (for example, the young person is presenting as suicidal or self-harming)</w:t>
      </w:r>
    </w:p>
    <w:p>
      <w: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pPr>
        <w:pStyle w:val="Heading4"/>
      </w:pPr>
      <w:r>
        <w:t xml:space="preserve">Curriculum coverage </w:t>
      </w:r>
    </w:p>
    <w:p>
      <w:pPr>
        <w:spacing w:after="80"/>
      </w:pPr>
      <w:r>
        <w:t xml:space="preserve">Pupils are taught about the issues surrounding the sharing of nudes and semi-nudes as part of our </w:t>
      </w:r>
      <w:proofErr w:type="gramStart"/>
      <w:r>
        <w:t>relationships</w:t>
      </w:r>
      <w:proofErr w:type="gramEnd"/>
      <w:r>
        <w:t xml:space="preserve"> education / relationships and sex education and computing </w:t>
      </w:r>
      <w:proofErr w:type="spellStart"/>
      <w:r>
        <w:t>programmes</w:t>
      </w:r>
      <w:proofErr w:type="spellEnd"/>
      <w:r>
        <w:t xml:space="preserve">. </w:t>
      </w:r>
    </w:p>
    <w:p>
      <w:pPr>
        <w:pStyle w:val="Heading1"/>
        <w:rPr>
          <w:color w:val="FF0000"/>
          <w:sz w:val="28"/>
          <w:szCs w:val="28"/>
        </w:rPr>
      </w:pPr>
      <w:bookmarkStart w:id="76" w:name="_heading=h.sopze9z2i1zs" w:colFirst="0" w:colLast="0"/>
      <w:bookmarkStart w:id="77" w:name="_Toc172030630"/>
      <w:bookmarkEnd w:id="76"/>
      <w:r>
        <w:rPr>
          <w:color w:val="FF0000"/>
          <w:sz w:val="28"/>
          <w:szCs w:val="28"/>
        </w:rPr>
        <w:t xml:space="preserve">Part 2C - Competent: </w:t>
      </w:r>
      <w:proofErr w:type="spellStart"/>
      <w:r>
        <w:rPr>
          <w:color w:val="FF0000"/>
          <w:sz w:val="28"/>
          <w:szCs w:val="28"/>
        </w:rPr>
        <w:t>Recognising</w:t>
      </w:r>
      <w:proofErr w:type="spellEnd"/>
      <w:r>
        <w:rPr>
          <w:color w:val="FF0000"/>
          <w:sz w:val="28"/>
          <w:szCs w:val="28"/>
        </w:rPr>
        <w:t xml:space="preserve"> that some children have an increased risk of abuse</w:t>
      </w:r>
      <w:bookmarkEnd w:id="77"/>
    </w:p>
    <w:p>
      <w:pPr>
        <w:pStyle w:val="Heading2"/>
        <w:rPr>
          <w:sz w:val="28"/>
        </w:rPr>
      </w:pPr>
      <w:bookmarkStart w:id="78" w:name="_heading=h.5a0sx7t58gx6" w:colFirst="0" w:colLast="0"/>
      <w:bookmarkStart w:id="79" w:name="_Toc172030631"/>
      <w:bookmarkEnd w:id="78"/>
      <w:r>
        <w:rPr>
          <w:sz w:val="28"/>
        </w:rPr>
        <w:t>15. Attendance</w:t>
      </w:r>
      <w:bookmarkEnd w:id="79"/>
      <w:r>
        <w:rPr>
          <w:sz w:val="28"/>
        </w:rPr>
        <w:t xml:space="preserve"> </w:t>
      </w:r>
      <w:hyperlink r:id="rId59" w:history="1">
        <w:r>
          <w:rPr>
            <w:rStyle w:val="Hyperlink"/>
            <w:b w:val="0"/>
            <w:sz w:val="28"/>
          </w:rPr>
          <w:t>https://www.highfieldceprimaryschool.co.uk/attachments/download.asp?file=1169&amp;type=pdf</w:t>
        </w:r>
      </w:hyperlink>
      <w:r>
        <w:rPr>
          <w:b w:val="0"/>
          <w:color w:val="00B050"/>
          <w:sz w:val="28"/>
        </w:rPr>
        <w:t xml:space="preserve"> </w:t>
      </w:r>
    </w:p>
    <w:p>
      <w:r>
        <w:t>For the most vulnerable pupils, regular attendance is also an important protective factor and the best opportunity for needs to be identified and support provided. Being absent, as well as missing, from education can be warning sign of a range of safeguarding concerns, including sexual abuse, sexual exploitation or child criminal exploitation. This includes when problems are first emerging but also where children are already 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w:t>
      </w:r>
    </w:p>
    <w:p>
      <w:r>
        <w:t xml:space="preserve">Some pupils face more complex barriers to attendance. This can include pupils who have long term physical or mental health conditions or who have special educational needs and disabilities (SEND). In line with our attendance policy, and statutory guidance </w:t>
      </w:r>
      <w:hyperlink r:id="rId60" w:history="1">
        <w:r>
          <w:rPr>
            <w:rStyle w:val="Hyperlink"/>
          </w:rPr>
          <w:t>Working Together to Improve Attendance</w:t>
        </w:r>
      </w:hyperlink>
      <w:r>
        <w:t>, we provide these pupils with additional support (see attendance policy).</w:t>
      </w:r>
    </w:p>
    <w:p>
      <w:pPr>
        <w:spacing w:before="240" w:after="240"/>
      </w:pPr>
      <w:r>
        <w:lastRenderedPageBreak/>
        <w:t xml:space="preserve">The Local Authority </w:t>
      </w:r>
      <w:proofErr w:type="spellStart"/>
      <w:r>
        <w:t>recognises</w:t>
      </w:r>
      <w:proofErr w:type="spellEnd"/>
      <w:r>
        <w:t xml:space="preserve"> that educational neglect exists and can be a factor within physical, emotional, sexual or criminal harm. It is a likely outcome of a range of contributing factors that could be attributable to parent(s)/</w:t>
      </w:r>
      <w:proofErr w:type="spellStart"/>
      <w:r>
        <w:t>carer</w:t>
      </w:r>
      <w:proofErr w:type="spellEnd"/>
      <w:r>
        <w:t xml:space="preserve">(s), professionals or </w:t>
      </w:r>
      <w:proofErr w:type="spellStart"/>
      <w:r>
        <w:t>organisations</w:t>
      </w:r>
      <w:proofErr w:type="spellEnd"/>
      <w:r>
        <w:t>. It could also be the continued persistent failure of a parent or young person, deemed old enough to determine their own actions, to manage their own travel to and from school and to attend school regularly.</w:t>
      </w:r>
    </w:p>
    <w:p>
      <w:pPr>
        <w:pStyle w:val="Heading2"/>
        <w:rPr>
          <w:sz w:val="28"/>
        </w:rPr>
      </w:pPr>
      <w:bookmarkStart w:id="80" w:name="_heading=h.oyg4vt19birg" w:colFirst="0" w:colLast="0"/>
      <w:bookmarkStart w:id="81" w:name="_Toc172030632"/>
      <w:bookmarkEnd w:id="80"/>
      <w:r>
        <w:rPr>
          <w:sz w:val="28"/>
        </w:rPr>
        <w:t>16. Children with Special Educational Needs and Disabilities</w:t>
      </w:r>
      <w:bookmarkEnd w:id="81"/>
    </w:p>
    <w:p>
      <w:r>
        <w:t xml:space="preserve">We </w:t>
      </w:r>
      <w:proofErr w:type="spellStart"/>
      <w:r>
        <w:t>recognise</w:t>
      </w:r>
      <w:proofErr w:type="spellEnd"/>
      <w:r>
        <w:t xml:space="preserve"> that pupils with SEND or certain health conditions can face additional safeguarding challenges. Children with disabilities are more likely to be abused than their peers. Additional barriers can exist when </w:t>
      </w:r>
      <w:proofErr w:type="spellStart"/>
      <w:r>
        <w:t>recognising</w:t>
      </w:r>
      <w:proofErr w:type="spellEnd"/>
      <w:r>
        <w:t xml:space="preserve"> abuse, exploitation and neglect in this group, including: </w:t>
      </w:r>
    </w:p>
    <w:p>
      <w:pPr>
        <w:numPr>
          <w:ilvl w:val="0"/>
          <w:numId w:val="8"/>
        </w:numPr>
        <w:spacing w:after="0"/>
      </w:pPr>
      <w:r>
        <w:t xml:space="preserve">assumptions that indicators of possible abuse such as </w:t>
      </w:r>
      <w:proofErr w:type="spellStart"/>
      <w:r>
        <w:t>behaviour</w:t>
      </w:r>
      <w:proofErr w:type="spellEnd"/>
      <w:r>
        <w:t>, mood and injury relate to the child’s condition without further exploration</w:t>
      </w:r>
    </w:p>
    <w:p>
      <w:pPr>
        <w:numPr>
          <w:ilvl w:val="0"/>
          <w:numId w:val="8"/>
        </w:numPr>
        <w:spacing w:after="0"/>
      </w:pPr>
      <w:r>
        <w:t>Pupils being more prone to peer group isolation or bullying (including prejudice-based bullying) than other pupils</w:t>
      </w:r>
    </w:p>
    <w:p>
      <w:pPr>
        <w:numPr>
          <w:ilvl w:val="0"/>
          <w:numId w:val="8"/>
        </w:numPr>
        <w:spacing w:after="0"/>
      </w:pPr>
      <w:r>
        <w:t xml:space="preserve">The potential for pupils with SEN, disabilities or certain health conditions being disproportionately impacted by </w:t>
      </w:r>
      <w:proofErr w:type="spellStart"/>
      <w:r>
        <w:t>behaviours</w:t>
      </w:r>
      <w:proofErr w:type="spellEnd"/>
      <w:r>
        <w:t xml:space="preserve"> such as bullying, without outwardly showing any signs</w:t>
      </w:r>
    </w:p>
    <w:p>
      <w:pPr>
        <w:numPr>
          <w:ilvl w:val="0"/>
          <w:numId w:val="8"/>
        </w:numPr>
        <w:spacing w:after="0"/>
      </w:pPr>
      <w:r>
        <w:t>Communication barriers and difficulties in managing or reporting these challenges</w:t>
      </w:r>
    </w:p>
    <w:p>
      <w:pPr>
        <w:numPr>
          <w:ilvl w:val="0"/>
          <w:numId w:val="8"/>
        </w:numPr>
      </w:pPr>
      <w:r>
        <w:t>Cognitive understanding – being unable to understand the difference between fact and fiction in online content and then repeating the content/</w:t>
      </w:r>
      <w:proofErr w:type="spellStart"/>
      <w:r>
        <w:t>behaviours</w:t>
      </w:r>
      <w:proofErr w:type="spellEnd"/>
      <w:r>
        <w:t xml:space="preserve"> in schools or colleges or the consequences of doing so</w:t>
      </w:r>
    </w:p>
    <w:p>
      <w:r>
        <w:t xml:space="preserve">We offer extra pastoral support for these pupils. This includes: </w:t>
      </w:r>
    </w:p>
    <w:p>
      <w:pPr>
        <w:numPr>
          <w:ilvl w:val="0"/>
          <w:numId w:val="45"/>
        </w:numPr>
        <w:spacing w:after="0"/>
      </w:pPr>
      <w:r>
        <w:t>ELSA, support from MHST, nurture groups</w:t>
      </w:r>
    </w:p>
    <w:p>
      <w:pPr>
        <w:numPr>
          <w:ilvl w:val="0"/>
          <w:numId w:val="45"/>
        </w:numPr>
      </w:pPr>
      <w:r>
        <w:t xml:space="preserve">Any abuse involving pupils with SEND will require close liaison with the DSL (or deputy) and the SENCO. </w:t>
      </w:r>
    </w:p>
    <w:p>
      <w:pPr>
        <w:pStyle w:val="Heading2"/>
        <w:rPr>
          <w:sz w:val="28"/>
        </w:rPr>
      </w:pPr>
      <w:bookmarkStart w:id="82" w:name="_heading=h.aq0zcs4d9k0f" w:colFirst="0" w:colLast="0"/>
      <w:bookmarkStart w:id="83" w:name="_Toc172030633"/>
      <w:bookmarkEnd w:id="82"/>
      <w:r>
        <w:rPr>
          <w:sz w:val="28"/>
        </w:rPr>
        <w:t>17. Pupils who are Lesbian, Gay, Bisexual or Gender Questioning</w:t>
      </w:r>
      <w:bookmarkEnd w:id="83"/>
    </w:p>
    <w:p>
      <w:pPr>
        <w:spacing w:line="240" w:lineRule="auto"/>
      </w:pPr>
      <w:r>
        <w:t xml:space="preserve">The section of KCSIE 2025 on gender questioning children remains under review, pending the outcome of the gender questioning children guidance consultation, and final gender questioning guidance documents being published.  </w:t>
      </w:r>
    </w:p>
    <w:p>
      <w:pPr>
        <w:spacing w:line="240" w:lineRule="auto"/>
        <w:rPr>
          <w:color w:val="00B050"/>
        </w:rPr>
      </w:pPr>
      <w:r>
        <w:t xml:space="preserve">We </w:t>
      </w:r>
      <w:proofErr w:type="spellStart"/>
      <w:r>
        <w:t>recognise</w:t>
      </w:r>
      <w:proofErr w:type="spellEnd"/>
      <w:r>
        <w:t xml:space="preserve"> that pupils who are (or who are perceived to be) lesbian, gay, bisexual or gender questioning (LGBTQ+) can be targeted by other children. </w:t>
      </w:r>
    </w:p>
    <w:p>
      <w:pPr>
        <w:spacing w:line="240" w:lineRule="auto"/>
      </w:pPr>
      <w:r>
        <w:t xml:space="preserve">We also </w:t>
      </w:r>
      <w:proofErr w:type="spellStart"/>
      <w:r>
        <w:t>recognise</w:t>
      </w:r>
      <w:proofErr w:type="spellEnd"/>
      <w:r>
        <w:t xml:space="preserve"> that LGBTQ+ children are more likely to experience poor mental health. Any concerns should be reported to the DSL. Add details of the pastoral support you offer these pupils, such as appointing an LGBTQ+ pastoral lead.</w:t>
      </w:r>
    </w:p>
    <w:p>
      <w:pPr>
        <w:spacing w:line="240" w:lineRule="auto"/>
      </w:pPr>
      <w:r>
        <w:t>When families/</w:t>
      </w:r>
      <w:proofErr w:type="spellStart"/>
      <w:r>
        <w:t>carers</w:t>
      </w:r>
      <w:proofErr w:type="spellEnd"/>
      <w:r>
        <w:t xml:space="preserve"> are making decisions about support for gender questioning pupils, they should be encouraged to seek clinical help and advice. This should be done as early as possible when supporting pre-pubertal children.</w:t>
      </w:r>
    </w:p>
    <w:p>
      <w:pPr>
        <w:spacing w:line="240" w:lineRule="auto"/>
      </w:pPr>
      <w:r>
        <w:t>When supporting a gender questioning pupil, we will take a cautious approach as there are still unknowns around the impact of social transition, and a pupil may have wider vulnerability, such as complex mental health and psychosocial needs, and in some cases additional diagnoses of autism and/or attention deficit hyperactivity disorder.</w:t>
      </w:r>
    </w:p>
    <w:p>
      <w:pPr>
        <w:spacing w:line="240" w:lineRule="auto"/>
      </w:pPr>
      <w:r>
        <w:t>We will also consider the broad range of their individual needs, in partnership with their parents/</w:t>
      </w:r>
      <w:proofErr w:type="spellStart"/>
      <w:r>
        <w:t>carers</w:t>
      </w:r>
      <w:proofErr w:type="spellEnd"/>
      <w:r>
        <w:t xml:space="preserve"> (other than in rare circumstances where involving parents/</w:t>
      </w:r>
      <w:proofErr w:type="spellStart"/>
      <w:r>
        <w:t>carers</w:t>
      </w:r>
      <w:proofErr w:type="spellEnd"/>
      <w:r>
        <w:t xml:space="preserve"> would constitute a significant risk of harm to the pupil). We will also include any clinical advice that is available and consider how to address wider vulnerabilities such as the risk of bullying.</w:t>
      </w:r>
    </w:p>
    <w:p>
      <w:pPr>
        <w:spacing w:line="240" w:lineRule="auto"/>
        <w:rPr>
          <w:b/>
        </w:rPr>
      </w:pPr>
      <w:r>
        <w:lastRenderedPageBreak/>
        <w:t>Risks can be compounded where children lack trusted adults with whom they can be open. We therefore aim to reduce the additional barriers faced and create a culture where pupils can speak out or share their concerns with members of staff.</w:t>
      </w:r>
    </w:p>
    <w:p>
      <w:pPr>
        <w:pStyle w:val="Heading2"/>
        <w:rPr>
          <w:sz w:val="28"/>
        </w:rPr>
      </w:pPr>
      <w:bookmarkStart w:id="84" w:name="_heading=h.k6f9q0955lhh" w:colFirst="0" w:colLast="0"/>
      <w:bookmarkStart w:id="85" w:name="_Toc172030634"/>
      <w:bookmarkEnd w:id="84"/>
      <w:r>
        <w:rPr>
          <w:sz w:val="28"/>
        </w:rPr>
        <w:t>18. Pupils with a social worker</w:t>
      </w:r>
      <w:bookmarkEnd w:id="85"/>
      <w:r>
        <w:rPr>
          <w:sz w:val="28"/>
        </w:rPr>
        <w:t xml:space="preserve"> </w:t>
      </w:r>
    </w:p>
    <w:p>
      <w:r>
        <w:t xml:space="preserve">Pupils may need a social worker due to safeguarding or welfare needs. We </w:t>
      </w:r>
      <w:proofErr w:type="spellStart"/>
      <w:r>
        <w:t>recognise</w:t>
      </w:r>
      <w:proofErr w:type="spellEnd"/>
      <w:r>
        <w:t xml:space="preserve"> that a child’s experiences of adversity and trauma can leave them vulnerable to further harm as well as potentially creating barriers to attendance, learning, </w:t>
      </w:r>
      <w:proofErr w:type="spellStart"/>
      <w:r>
        <w:t>behaviour</w:t>
      </w:r>
      <w:proofErr w:type="spellEnd"/>
      <w:r>
        <w:t xml:space="preserve"> and mental health.</w:t>
      </w:r>
    </w:p>
    <w:p>
      <w:r>
        <w:t>The DSL and all members of staff will work with and support social workers to help protect vulnerable children.</w:t>
      </w:r>
    </w:p>
    <w:p>
      <w:pPr>
        <w:spacing w:after="80"/>
      </w:pPr>
      <w:r>
        <w:t xml:space="preserve">Where we are aware that a pupil has a social worker, the DSL will always consider this fact to ensure any decisions are made in the best interests of the pupil’s safety, welfare and educational outcomes. For example, it will inform decisions about: </w:t>
      </w:r>
    </w:p>
    <w:p>
      <w:pPr>
        <w:numPr>
          <w:ilvl w:val="0"/>
          <w:numId w:val="29"/>
        </w:numPr>
        <w:spacing w:after="80"/>
      </w:pPr>
      <w:r>
        <w:t xml:space="preserve"> Responding to </w:t>
      </w:r>
      <w:proofErr w:type="spellStart"/>
      <w:r>
        <w:t>unauthorised</w:t>
      </w:r>
      <w:proofErr w:type="spellEnd"/>
      <w:r>
        <w:t xml:space="preserve"> absence or missing education where there are known safeguarding risks</w:t>
      </w:r>
    </w:p>
    <w:p>
      <w:pPr>
        <w:pStyle w:val="Heading2"/>
        <w:rPr>
          <w:sz w:val="28"/>
        </w:rPr>
      </w:pPr>
      <w:bookmarkStart w:id="86" w:name="_heading=h.pv0toxcxrv0x" w:colFirst="0" w:colLast="0"/>
      <w:bookmarkStart w:id="87" w:name="_Toc172030635"/>
      <w:bookmarkEnd w:id="86"/>
      <w:r>
        <w:rPr>
          <w:sz w:val="28"/>
        </w:rPr>
        <w:t>19. Looked-After and Previously Looked-After children</w:t>
      </w:r>
      <w:bookmarkEnd w:id="87"/>
    </w:p>
    <w:p>
      <w:pPr>
        <w:spacing w:after="80" w:line="240" w:lineRule="auto"/>
      </w:pPr>
      <w:r>
        <w:t xml:space="preserve">We will ensure that staff have the skills, knowledge and understanding to keep looked-after children and previously looked-after children safe. In particular, we will ensure that: </w:t>
      </w:r>
    </w:p>
    <w:p>
      <w:pPr>
        <w:numPr>
          <w:ilvl w:val="0"/>
          <w:numId w:val="19"/>
        </w:numPr>
        <w:spacing w:after="0" w:line="240" w:lineRule="auto"/>
      </w:pPr>
      <w:r>
        <w:t xml:space="preserve"> Appropriate staff have relevant information about children’s looked after legal status, contact arrangements with birth parents or those with parental responsibility, and care arrangements</w:t>
      </w:r>
    </w:p>
    <w:p>
      <w:pPr>
        <w:numPr>
          <w:ilvl w:val="0"/>
          <w:numId w:val="19"/>
        </w:numPr>
        <w:spacing w:after="0" w:line="240" w:lineRule="auto"/>
      </w:pPr>
      <w:r>
        <w:t xml:space="preserve">The DSL has details of children’s social workers and relevant virtual school heads </w:t>
      </w:r>
    </w:p>
    <w:p>
      <w:pPr>
        <w:spacing w:after="0" w:line="240" w:lineRule="auto"/>
      </w:pPr>
    </w:p>
    <w:p>
      <w:pPr>
        <w:spacing w:after="0" w:line="240" w:lineRule="auto"/>
      </w:pPr>
      <w:r>
        <w:t>We have appointed a designated teacher, Rachael Bond,</w:t>
      </w:r>
      <w:r>
        <w:rPr>
          <w:color w:val="00B050"/>
        </w:rPr>
        <w:t xml:space="preserve"> </w:t>
      </w:r>
      <w:r>
        <w:t xml:space="preserve">who is responsible for promoting the educational achievement of looked-after children and previously looked-after children in line with statutory guidance. </w:t>
      </w:r>
    </w:p>
    <w:p>
      <w:pPr>
        <w:spacing w:after="0" w:line="240" w:lineRule="auto"/>
      </w:pPr>
    </w:p>
    <w:p>
      <w:pPr>
        <w:spacing w:after="0" w:line="240" w:lineRule="auto"/>
      </w:pPr>
      <w:r>
        <w:t>The designated teacher is appropriately trained and has the relevant qualifications and experience to perform the role.</w:t>
      </w:r>
    </w:p>
    <w:p>
      <w:pPr>
        <w:spacing w:after="0" w:line="240" w:lineRule="auto"/>
      </w:pPr>
    </w:p>
    <w:p>
      <w:pPr>
        <w:spacing w:after="80" w:line="240" w:lineRule="auto"/>
      </w:pPr>
      <w:r>
        <w:t xml:space="preserve">As part of their role, the designated teacher will: </w:t>
      </w:r>
    </w:p>
    <w:p>
      <w:pPr>
        <w:numPr>
          <w:ilvl w:val="0"/>
          <w:numId w:val="36"/>
        </w:numPr>
        <w:spacing w:after="0" w:line="240" w:lineRule="auto"/>
      </w:pPr>
      <w:r>
        <w:t>Work closely with the DSL to ensure that any safeguarding concerns regarding looked-after and previously looked-after children are quickly and effectively responded to</w:t>
      </w:r>
    </w:p>
    <w:p>
      <w:pPr>
        <w:numPr>
          <w:ilvl w:val="0"/>
          <w:numId w:val="36"/>
        </w:numPr>
        <w:spacing w:after="0"/>
      </w:pPr>
      <w: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pPr>
        <w:pStyle w:val="Heading2"/>
        <w:rPr>
          <w:sz w:val="28"/>
        </w:rPr>
      </w:pPr>
      <w:bookmarkStart w:id="88" w:name="_heading=h.t1wzqbgn6rza" w:colFirst="0" w:colLast="0"/>
      <w:bookmarkStart w:id="89" w:name="_Toc172030636"/>
      <w:bookmarkEnd w:id="88"/>
      <w:r>
        <w:rPr>
          <w:sz w:val="28"/>
        </w:rPr>
        <w:t>20. Virtual School Heads</w:t>
      </w:r>
      <w:bookmarkEnd w:id="89"/>
    </w:p>
    <w:p>
      <w:pPr>
        <w:spacing w:after="0" w:line="240" w:lineRule="auto"/>
      </w:pPr>
      <w:r>
        <w:t>Virtual school heads have a non-statutory responsibility for the strategic oversight of the educational attendance, attainment and progress of pupils with a social worker including those children under kinship care.</w:t>
      </w:r>
    </w:p>
    <w:p>
      <w:pPr>
        <w:spacing w:before="240" w:after="240"/>
      </w:pPr>
      <w:r>
        <w:t xml:space="preserve">They should also identify and engage with key professionals, e.g. DSLs, special educational needs </w:t>
      </w:r>
      <w:proofErr w:type="spellStart"/>
      <w:r>
        <w:t>co-ordinators</w:t>
      </w:r>
      <w:proofErr w:type="spellEnd"/>
      <w:r>
        <w:t xml:space="preserve"> (SENCOs), social workers, mental health leads and others.  </w:t>
      </w:r>
    </w:p>
    <w:p>
      <w:pPr>
        <w:pStyle w:val="Heading1"/>
        <w:rPr>
          <w:color w:val="FF0000"/>
          <w:sz w:val="32"/>
        </w:rPr>
      </w:pPr>
      <w:bookmarkStart w:id="90" w:name="_heading=h.tk62odklatn0" w:colFirst="0" w:colLast="0"/>
      <w:bookmarkStart w:id="91" w:name="_Toc172030637"/>
      <w:bookmarkEnd w:id="90"/>
      <w:r>
        <w:rPr>
          <w:color w:val="FF0000"/>
          <w:sz w:val="32"/>
        </w:rPr>
        <w:lastRenderedPageBreak/>
        <w:t>Part Three: Taking Action</w:t>
      </w:r>
      <w:bookmarkEnd w:id="91"/>
    </w:p>
    <w:p>
      <w:pPr>
        <w:pStyle w:val="Heading2"/>
        <w:rPr>
          <w:sz w:val="28"/>
        </w:rPr>
      </w:pPr>
      <w:bookmarkStart w:id="92" w:name="_heading=h.5bcd5eatfmwv" w:colFirst="0" w:colLast="0"/>
      <w:bookmarkStart w:id="93" w:name="_Toc172030638"/>
      <w:bookmarkEnd w:id="92"/>
      <w:r>
        <w:rPr>
          <w:sz w:val="28"/>
        </w:rPr>
        <w:t>21. Guiding principles, the seven R’s</w:t>
      </w:r>
      <w:bookmarkEnd w:id="93"/>
    </w:p>
    <w:p>
      <w:pPr>
        <w:numPr>
          <w:ilvl w:val="0"/>
          <w:numId w:val="32"/>
        </w:numPr>
        <w:spacing w:after="0"/>
        <w:rPr>
          <w:b/>
          <w:bCs/>
        </w:rPr>
      </w:pPr>
      <w:r>
        <w:rPr>
          <w:b/>
          <w:bCs/>
        </w:rPr>
        <w:t>Receive</w:t>
      </w:r>
    </w:p>
    <w:p>
      <w:pPr>
        <w:numPr>
          <w:ilvl w:val="0"/>
          <w:numId w:val="32"/>
        </w:numPr>
        <w:spacing w:after="0"/>
        <w:rPr>
          <w:b/>
          <w:bCs/>
        </w:rPr>
      </w:pPr>
      <w:r>
        <w:rPr>
          <w:b/>
          <w:bCs/>
        </w:rPr>
        <w:t>Reassure</w:t>
      </w:r>
    </w:p>
    <w:p>
      <w:pPr>
        <w:numPr>
          <w:ilvl w:val="0"/>
          <w:numId w:val="32"/>
        </w:numPr>
        <w:spacing w:after="0"/>
        <w:rPr>
          <w:b/>
          <w:bCs/>
        </w:rPr>
      </w:pPr>
      <w:r>
        <w:rPr>
          <w:b/>
          <w:bCs/>
        </w:rPr>
        <w:t>Respond</w:t>
      </w:r>
    </w:p>
    <w:p>
      <w:pPr>
        <w:numPr>
          <w:ilvl w:val="0"/>
          <w:numId w:val="32"/>
        </w:numPr>
        <w:spacing w:after="0"/>
        <w:rPr>
          <w:b/>
          <w:bCs/>
        </w:rPr>
      </w:pPr>
      <w:r>
        <w:rPr>
          <w:b/>
          <w:bCs/>
        </w:rPr>
        <w:t>Report</w:t>
      </w:r>
    </w:p>
    <w:p>
      <w:pPr>
        <w:numPr>
          <w:ilvl w:val="0"/>
          <w:numId w:val="32"/>
        </w:numPr>
        <w:spacing w:after="0"/>
        <w:rPr>
          <w:b/>
          <w:bCs/>
        </w:rPr>
      </w:pPr>
      <w:r>
        <w:rPr>
          <w:b/>
          <w:bCs/>
        </w:rPr>
        <w:t>Record</w:t>
      </w:r>
    </w:p>
    <w:p>
      <w:pPr>
        <w:numPr>
          <w:ilvl w:val="0"/>
          <w:numId w:val="32"/>
        </w:numPr>
        <w:spacing w:after="0"/>
        <w:rPr>
          <w:b/>
          <w:bCs/>
        </w:rPr>
      </w:pPr>
      <w:r>
        <w:rPr>
          <w:b/>
          <w:bCs/>
        </w:rPr>
        <w:t>Remember</w:t>
      </w:r>
    </w:p>
    <w:p>
      <w:pPr>
        <w:numPr>
          <w:ilvl w:val="0"/>
          <w:numId w:val="32"/>
        </w:numPr>
        <w:spacing w:after="0"/>
        <w:rPr>
          <w:b/>
          <w:bCs/>
        </w:rPr>
      </w:pPr>
      <w:r>
        <w:rPr>
          <w:b/>
          <w:bCs/>
        </w:rPr>
        <w:t>Review</w:t>
      </w:r>
    </w:p>
    <w:p>
      <w:pPr>
        <w:spacing w:after="0"/>
      </w:pPr>
      <w:bookmarkStart w:id="94" w:name="_heading=h.mj01apa8vk7n" w:colFirst="0" w:colLast="0"/>
      <w:bookmarkEnd w:id="94"/>
    </w:p>
    <w:p>
      <w:pPr>
        <w:pStyle w:val="Heading2"/>
        <w:spacing w:before="0" w:after="0"/>
        <w:rPr>
          <w:sz w:val="28"/>
        </w:rPr>
      </w:pPr>
      <w:bookmarkStart w:id="95" w:name="_Toc172030639"/>
      <w:r>
        <w:rPr>
          <w:sz w:val="28"/>
        </w:rPr>
        <w:t>22. If a child shares a concern…</w:t>
      </w:r>
      <w:bookmarkEnd w:id="95"/>
    </w:p>
    <w:p>
      <w:pPr>
        <w:pStyle w:val="Heading4"/>
        <w:spacing w:before="0" w:after="0"/>
        <w:ind w:left="720"/>
      </w:pPr>
      <w:bookmarkStart w:id="96" w:name="_heading=h.l4owh23axjw2" w:colFirst="0" w:colLast="0"/>
      <w:bookmarkEnd w:id="96"/>
      <w:r>
        <w:t>22.1 Receive</w:t>
      </w:r>
    </w:p>
    <w:p>
      <w:pPr>
        <w:numPr>
          <w:ilvl w:val="0"/>
          <w:numId w:val="44"/>
        </w:numPr>
        <w:spacing w:after="0" w:line="276" w:lineRule="auto"/>
        <w:ind w:left="1440"/>
      </w:pPr>
      <w:r>
        <w:t>Listen to what is being said, without displaying shock or disbelief</w:t>
      </w:r>
    </w:p>
    <w:p>
      <w:pPr>
        <w:numPr>
          <w:ilvl w:val="0"/>
          <w:numId w:val="44"/>
        </w:numPr>
        <w:spacing w:after="0" w:line="276" w:lineRule="auto"/>
        <w:ind w:left="1440"/>
      </w:pPr>
      <w:r>
        <w:t>Accept what is said and take it seriously</w:t>
      </w:r>
    </w:p>
    <w:p>
      <w:pPr>
        <w:numPr>
          <w:ilvl w:val="0"/>
          <w:numId w:val="44"/>
        </w:numPr>
        <w:spacing w:after="0" w:line="276" w:lineRule="auto"/>
        <w:ind w:left="1440"/>
      </w:pPr>
      <w:r>
        <w:t>Make a note of what has been said as soon as practicable</w:t>
      </w:r>
    </w:p>
    <w:p>
      <w:pPr>
        <w:pStyle w:val="Heading4"/>
        <w:ind w:left="720"/>
      </w:pPr>
      <w:r>
        <w:t>22.2 Reassure</w:t>
      </w:r>
    </w:p>
    <w:p>
      <w:pPr>
        <w:numPr>
          <w:ilvl w:val="1"/>
          <w:numId w:val="44"/>
        </w:numPr>
        <w:spacing w:after="0" w:line="276" w:lineRule="auto"/>
      </w:pPr>
      <w:r>
        <w:t>Reassure the pupil, but only so far as is honest and reliable</w:t>
      </w:r>
    </w:p>
    <w:p>
      <w:pPr>
        <w:numPr>
          <w:ilvl w:val="1"/>
          <w:numId w:val="44"/>
        </w:numPr>
        <w:spacing w:after="0" w:line="276" w:lineRule="auto"/>
      </w:pPr>
      <w:r>
        <w:t>Don’t make promises you may not be able to keep e.g. ‘I’ll stay with you’ or ‘everything will be alright now’ or ‘I’ll keep this confidential’</w:t>
      </w:r>
    </w:p>
    <w:p>
      <w:pPr>
        <w:numPr>
          <w:ilvl w:val="1"/>
          <w:numId w:val="44"/>
        </w:numPr>
        <w:spacing w:after="0" w:line="276" w:lineRule="auto"/>
      </w:pPr>
      <w:r>
        <w:t>Do reassure e.g. you could say: ‘I believe you’, ‘I am glad you came to me’, ‘I am sorry this has happened’, ‘We are going to do something together to get help’</w:t>
      </w:r>
    </w:p>
    <w:p>
      <w:pPr>
        <w:pStyle w:val="Heading4"/>
        <w:spacing w:before="360"/>
        <w:ind w:left="720"/>
      </w:pPr>
      <w:r>
        <w:t>22.3 Respond</w:t>
      </w:r>
    </w:p>
    <w:p>
      <w:pPr>
        <w:numPr>
          <w:ilvl w:val="0"/>
          <w:numId w:val="56"/>
        </w:numPr>
        <w:spacing w:after="0" w:line="276" w:lineRule="auto"/>
      </w:pPr>
      <w:r>
        <w:t>Respond to the pupil only as far as is necessary for you to establish whether or not you need to refer this matter, but do not interrogate for full details</w:t>
      </w:r>
    </w:p>
    <w:p>
      <w:pPr>
        <w:numPr>
          <w:ilvl w:val="0"/>
          <w:numId w:val="56"/>
        </w:numPr>
        <w:spacing w:after="0" w:line="276" w:lineRule="auto"/>
      </w:pPr>
      <w:r>
        <w:t>Do not ask ‘leading’ questions i.e. ‘did he touch your private parts?’ or ‘did she hurt you?’ Such questions may invalidate your evidence (and the child’s) in any later prosecution in court</w:t>
      </w:r>
    </w:p>
    <w:p>
      <w:pPr>
        <w:numPr>
          <w:ilvl w:val="0"/>
          <w:numId w:val="56"/>
        </w:numPr>
        <w:spacing w:after="0" w:line="276" w:lineRule="auto"/>
      </w:pPr>
      <w:r>
        <w:t>Do not ask the child why something has happened</w:t>
      </w:r>
    </w:p>
    <w:p>
      <w:pPr>
        <w:numPr>
          <w:ilvl w:val="0"/>
          <w:numId w:val="56"/>
        </w:numPr>
        <w:spacing w:after="0" w:line="276" w:lineRule="auto"/>
      </w:pPr>
      <w:r>
        <w:t xml:space="preserve">Do not </w:t>
      </w:r>
      <w:proofErr w:type="spellStart"/>
      <w:r>
        <w:t>criticise</w:t>
      </w:r>
      <w:proofErr w:type="spellEnd"/>
      <w:r>
        <w:t xml:space="preserve"> the alleged perpetrator; the pupil may care about him/her, and reconciliation may be possible</w:t>
      </w:r>
    </w:p>
    <w:p>
      <w:pPr>
        <w:numPr>
          <w:ilvl w:val="0"/>
          <w:numId w:val="56"/>
        </w:numPr>
        <w:spacing w:after="0" w:line="276" w:lineRule="auto"/>
      </w:pPr>
      <w:r>
        <w:t>Do not ask the pupil to repeat it all for another member of staff. Explain what you have to do next and to whom you need to talk. Reassure the pupil that it will be a senior member of staff in confidence</w:t>
      </w:r>
    </w:p>
    <w:p>
      <w:pPr>
        <w:spacing w:before="360" w:after="40" w:line="276" w:lineRule="auto"/>
        <w:ind w:left="720"/>
        <w:rPr>
          <w:b/>
          <w:sz w:val="24"/>
        </w:rPr>
      </w:pPr>
      <w:r>
        <w:rPr>
          <w:b/>
          <w:sz w:val="24"/>
        </w:rPr>
        <w:t>22.4 Report</w:t>
      </w:r>
    </w:p>
    <w:p>
      <w:pPr>
        <w:pStyle w:val="ListParagraph"/>
        <w:numPr>
          <w:ilvl w:val="0"/>
          <w:numId w:val="57"/>
        </w:numPr>
        <w:spacing w:after="0"/>
      </w:pPr>
      <w:r>
        <w:t>Share concerns with the DSL immediately</w:t>
      </w:r>
    </w:p>
    <w:p>
      <w:pPr>
        <w:pStyle w:val="ListParagraph"/>
        <w:numPr>
          <w:ilvl w:val="0"/>
          <w:numId w:val="57"/>
        </w:numPr>
        <w:spacing w:after="0"/>
      </w:pPr>
      <w:r>
        <w:t>If you are not able to contact your DSL or the Deputy, and the child is at risk of immediate harm, contact the children’s services social care department directly.</w:t>
      </w:r>
    </w:p>
    <w:p>
      <w:pPr>
        <w:pStyle w:val="Heading4"/>
        <w:spacing w:before="360"/>
        <w:ind w:firstLine="720"/>
      </w:pPr>
      <w:r>
        <w:t>22.5 Record</w:t>
      </w:r>
    </w:p>
    <w:p>
      <w:pPr>
        <w:pStyle w:val="ListParagraph"/>
        <w:numPr>
          <w:ilvl w:val="0"/>
          <w:numId w:val="58"/>
        </w:numPr>
        <w:ind w:left="1440"/>
      </w:pPr>
      <w:r>
        <w:t>If possible, make some very brief notes at the time, and record on CPOMS as soon as possible</w:t>
      </w:r>
    </w:p>
    <w:p>
      <w:pPr>
        <w:pStyle w:val="ListParagraph"/>
        <w:numPr>
          <w:ilvl w:val="0"/>
          <w:numId w:val="58"/>
        </w:numPr>
        <w:ind w:left="1440"/>
      </w:pPr>
      <w:r>
        <w:lastRenderedPageBreak/>
        <w:t xml:space="preserve">Record the date, time, place, persons present and noticeable nonverbal </w:t>
      </w:r>
      <w:proofErr w:type="spellStart"/>
      <w:r>
        <w:t>behaviour</w:t>
      </w:r>
      <w:proofErr w:type="spellEnd"/>
      <w:r>
        <w:t>, and the words used by the child. If the child uses sexual ‘pet’ words, record the actual words used, rather than translating them into ‘proper’ words</w:t>
      </w:r>
    </w:p>
    <w:p>
      <w:pPr>
        <w:pStyle w:val="ListParagraph"/>
        <w:numPr>
          <w:ilvl w:val="0"/>
          <w:numId w:val="58"/>
        </w:numPr>
        <w:ind w:left="1440"/>
      </w:pPr>
      <w:r>
        <w:t>Complete a body map to indicate the position of any noticeable bruising or marks</w:t>
      </w:r>
    </w:p>
    <w:p>
      <w:pPr>
        <w:pStyle w:val="ListParagraph"/>
        <w:numPr>
          <w:ilvl w:val="0"/>
          <w:numId w:val="58"/>
        </w:numPr>
        <w:ind w:left="1440"/>
      </w:pPr>
      <w:bookmarkStart w:id="97" w:name="_heading=h.z4sqheiyfwxh" w:colFirst="0" w:colLast="0"/>
      <w:bookmarkEnd w:id="97"/>
      <w:r>
        <w:t>Record facts and observable things, rather than your ‘interpretations’ or ‘assumptions’.</w:t>
      </w:r>
    </w:p>
    <w:p>
      <w:pPr>
        <w:pStyle w:val="Heading4"/>
        <w:spacing w:before="360"/>
        <w:ind w:left="720"/>
      </w:pPr>
      <w:r>
        <w:t>22.6 Remember</w:t>
      </w:r>
    </w:p>
    <w:p>
      <w:pPr>
        <w:pStyle w:val="ListParagraph"/>
        <w:numPr>
          <w:ilvl w:val="0"/>
          <w:numId w:val="60"/>
        </w:numPr>
      </w:pPr>
      <w:r>
        <w:t>Support the child: listen, reassure, and be available</w:t>
      </w:r>
    </w:p>
    <w:p>
      <w:pPr>
        <w:pStyle w:val="ListParagraph"/>
        <w:numPr>
          <w:ilvl w:val="0"/>
          <w:numId w:val="60"/>
        </w:numPr>
      </w:pPr>
      <w:r>
        <w:t>Complete confidentiality is essential. Share your knowledge only with appropriate professional colleagues</w:t>
      </w:r>
    </w:p>
    <w:p>
      <w:pPr>
        <w:pStyle w:val="ListParagraph"/>
        <w:numPr>
          <w:ilvl w:val="0"/>
          <w:numId w:val="60"/>
        </w:numPr>
      </w:pPr>
      <w:r>
        <w:t>Try to get some support for yourself if you need it.</w:t>
      </w:r>
    </w:p>
    <w:p>
      <w:pPr>
        <w:pStyle w:val="ListParagraph"/>
        <w:numPr>
          <w:ilvl w:val="0"/>
          <w:numId w:val="60"/>
        </w:numPr>
      </w:pPr>
      <w:bookmarkStart w:id="98" w:name="_heading=h.df54vly5dp14" w:colFirst="0" w:colLast="0"/>
      <w:bookmarkEnd w:id="98"/>
      <w:r>
        <w:t xml:space="preserve">All staff should be aware that children may not feel ready or know how to tell somebody that they are being abuse, exploited or neglected and/or they may not </w:t>
      </w:r>
      <w:proofErr w:type="spellStart"/>
      <w:r>
        <w:t>recognise</w:t>
      </w:r>
      <w:proofErr w:type="spellEnd"/>
      <w:r>
        <w:t xml:space="preserve"> their experiences as harmful</w:t>
      </w:r>
    </w:p>
    <w:p>
      <w:pPr>
        <w:pStyle w:val="Heading4"/>
        <w:spacing w:before="360"/>
        <w:ind w:left="720"/>
      </w:pPr>
      <w:r>
        <w:t xml:space="preserve">22.7 Review </w:t>
      </w:r>
    </w:p>
    <w:p>
      <w:pPr>
        <w:pStyle w:val="ListParagraph"/>
        <w:numPr>
          <w:ilvl w:val="0"/>
          <w:numId w:val="61"/>
        </w:numPr>
      </w:pPr>
      <w:bookmarkStart w:id="99" w:name="_heading=h.o2i5qvsiz5b0" w:colFirst="0" w:colLast="0"/>
      <w:bookmarkEnd w:id="99"/>
      <w:r>
        <w:t xml:space="preserve">processes (led by DSL) </w:t>
      </w:r>
    </w:p>
    <w:p>
      <w:pPr>
        <w:pStyle w:val="ListParagraph"/>
        <w:numPr>
          <w:ilvl w:val="0"/>
          <w:numId w:val="61"/>
        </w:numPr>
      </w:pPr>
      <w:bookmarkStart w:id="100" w:name="_heading=h.i5cj0f80n4xg" w:colFirst="0" w:colLast="0"/>
      <w:bookmarkEnd w:id="100"/>
      <w:r>
        <w:t xml:space="preserve">Has the action taken provided good outcomes for the child? </w:t>
      </w:r>
    </w:p>
    <w:p>
      <w:pPr>
        <w:pStyle w:val="ListParagraph"/>
        <w:numPr>
          <w:ilvl w:val="0"/>
          <w:numId w:val="61"/>
        </w:numPr>
      </w:pPr>
      <w:bookmarkStart w:id="101" w:name="_heading=h.kutzugjqrv80" w:colFirst="0" w:colLast="0"/>
      <w:bookmarkEnd w:id="101"/>
      <w:r>
        <w:t xml:space="preserve">Did the procedure work? </w:t>
      </w:r>
    </w:p>
    <w:p>
      <w:pPr>
        <w:pStyle w:val="ListParagraph"/>
        <w:numPr>
          <w:ilvl w:val="0"/>
          <w:numId w:val="61"/>
        </w:numPr>
      </w:pPr>
      <w:r>
        <w:t xml:space="preserve">Were any deficiencies or weaknesses identified in the procedure? Have these been remedied? </w:t>
      </w:r>
    </w:p>
    <w:p>
      <w:pPr>
        <w:pStyle w:val="ListParagraph"/>
        <w:numPr>
          <w:ilvl w:val="0"/>
          <w:numId w:val="61"/>
        </w:numPr>
      </w:pPr>
      <w:r>
        <w:t>Is further training required?</w:t>
      </w:r>
    </w:p>
    <w:p>
      <w:bookmarkStart w:id="102" w:name="_heading=h.wblbhh3786ot" w:colFirst="0" w:colLast="0"/>
      <w:bookmarkStart w:id="103" w:name="_heading=h.vqik5qq0a3zt" w:colFirst="0" w:colLast="0"/>
      <w:bookmarkStart w:id="104" w:name="_heading=h.t37msexe0d4m" w:colFirst="0" w:colLast="0"/>
      <w:bookmarkEnd w:id="102"/>
      <w:bookmarkEnd w:id="103"/>
      <w:bookmarkEnd w:id="104"/>
      <w:r>
        <w:t>Bear in mind that some children may:</w:t>
      </w:r>
    </w:p>
    <w:p>
      <w:pPr>
        <w:pStyle w:val="ListParagraph"/>
        <w:numPr>
          <w:ilvl w:val="0"/>
          <w:numId w:val="59"/>
        </w:numPr>
      </w:pPr>
      <w:r>
        <w:t>Not feel ready, or know how to tell someone that they are being abused, exploited or neglected</w:t>
      </w:r>
    </w:p>
    <w:p>
      <w:pPr>
        <w:pStyle w:val="ListParagraph"/>
        <w:numPr>
          <w:ilvl w:val="0"/>
          <w:numId w:val="59"/>
        </w:numPr>
      </w:pPr>
      <w:r>
        <w:t xml:space="preserve">Not </w:t>
      </w:r>
      <w:proofErr w:type="spellStart"/>
      <w:r>
        <w:t>recognise</w:t>
      </w:r>
      <w:proofErr w:type="spellEnd"/>
      <w:r>
        <w:t xml:space="preserve"> their experiences as harmful</w:t>
      </w:r>
    </w:p>
    <w:p>
      <w:pPr>
        <w:pStyle w:val="ListParagraph"/>
        <w:numPr>
          <w:ilvl w:val="0"/>
          <w:numId w:val="59"/>
        </w:numPr>
      </w:pPr>
      <w:r>
        <w:t>Feel embarrassed, humiliated or threatened. This could be due to their vulnerability, disability, sexual orientation and/or language barriers</w:t>
      </w:r>
    </w:p>
    <w:p>
      <w:r>
        <w:t xml:space="preserve">None of this should stop you from having a ‘professional curiosity’ and speaking to the DSL if you have concerns about a child.  </w:t>
      </w:r>
    </w:p>
    <w:p>
      <w:pPr>
        <w:pStyle w:val="Heading2"/>
        <w:rPr>
          <w:sz w:val="28"/>
        </w:rPr>
      </w:pPr>
      <w:bookmarkStart w:id="105" w:name="_heading=h.iwcakpwuj1h5" w:colFirst="0" w:colLast="0"/>
      <w:bookmarkStart w:id="106" w:name="_Toc172030640"/>
      <w:bookmarkEnd w:id="105"/>
      <w:r>
        <w:rPr>
          <w:sz w:val="28"/>
        </w:rPr>
        <w:t>23. If you have concerns about Mental Health</w:t>
      </w:r>
      <w:bookmarkEnd w:id="106"/>
    </w:p>
    <w:p>
      <w:r>
        <w:t xml:space="preserve">Mental health problems can, in some cases, be an indicator that a child has suffered or is at risk of suffering abuse, neglect or exploitation. Staff will be alert to </w:t>
      </w:r>
      <w:proofErr w:type="spellStart"/>
      <w:r>
        <w:t>behavioural</w:t>
      </w:r>
      <w:proofErr w:type="spellEnd"/>
      <w:r>
        <w:t xml:space="preserve"> signs that suggest a child may be experiencing a mental health problem or be at risk of developing one. </w:t>
      </w:r>
    </w:p>
    <w:p>
      <w:pPr>
        <w:rPr>
          <w:color w:val="00B050"/>
          <w:highlight w:val="green"/>
        </w:rPr>
      </w:pPr>
      <w:r>
        <w:t>If you have a mental health concern about a child that is also a safeguarding concern, take immediate action by following the steps in para 22 page 29.</w:t>
      </w:r>
    </w:p>
    <w:p>
      <w:r>
        <w:t xml:space="preserve">If you have a mental health concern that is not also a safeguarding concern, speak to the DSL to agree a course of action. </w:t>
      </w:r>
    </w:p>
    <w:p>
      <w:r>
        <w:t>If a child is in immediate danger call 999 immediately and tell the DSL as soon as possible.</w:t>
      </w:r>
      <w:bookmarkStart w:id="107" w:name="_heading=h.xztwmsclzs9u" w:colFirst="0" w:colLast="0"/>
      <w:bookmarkStart w:id="108" w:name="_heading=h.ctb8j532tfia" w:colFirst="0" w:colLast="0"/>
      <w:bookmarkEnd w:id="107"/>
      <w:bookmarkEnd w:id="108"/>
    </w:p>
    <w:p>
      <w:pPr>
        <w:pStyle w:val="Heading2"/>
        <w:rPr>
          <w:sz w:val="28"/>
        </w:rPr>
      </w:pPr>
      <w:bookmarkStart w:id="109" w:name="_Toc172030641"/>
      <w:r>
        <w:rPr>
          <w:sz w:val="28"/>
        </w:rPr>
        <w:t>24. Dealing with allegations of child-on-child abuse</w:t>
      </w:r>
      <w:bookmarkEnd w:id="109"/>
    </w:p>
    <w:p>
      <w:r>
        <w:t>If a pupil makes an allegation of abuse against another pupil:</w:t>
      </w:r>
    </w:p>
    <w:p>
      <w:r>
        <w:t>You must record the allegation and tell the DSL, but do not investigate it</w:t>
      </w:r>
    </w:p>
    <w:p>
      <w:pPr>
        <w:pStyle w:val="ListParagraph"/>
        <w:numPr>
          <w:ilvl w:val="0"/>
          <w:numId w:val="64"/>
        </w:numPr>
        <w:spacing w:after="0"/>
      </w:pPr>
      <w:r>
        <w:lastRenderedPageBreak/>
        <w:t>The DSL will contact the local authority children’s social care team where necessary, as well as the police if the allegation involves a potential criminal offence.</w:t>
      </w:r>
    </w:p>
    <w:p>
      <w:pPr>
        <w:pStyle w:val="ListParagraph"/>
        <w:numPr>
          <w:ilvl w:val="0"/>
          <w:numId w:val="64"/>
        </w:numPr>
        <w:spacing w:after="0"/>
      </w:pPr>
      <w:r>
        <w:t>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w:t>
      </w:r>
    </w:p>
    <w:p>
      <w:pPr>
        <w:pStyle w:val="ListParagraph"/>
        <w:numPr>
          <w:ilvl w:val="0"/>
          <w:numId w:val="64"/>
        </w:numPr>
        <w:spacing w:after="240"/>
      </w:pPr>
      <w:r>
        <w:t>The DSL will contact the children and adolescent mental health services (CAMHS), if appropriate.</w:t>
      </w:r>
    </w:p>
    <w:p>
      <w:pPr>
        <w:spacing w:before="240" w:after="240"/>
      </w:pPr>
      <w:r>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w:t>
      </w:r>
    </w:p>
    <w:p>
      <w:pPr>
        <w:pStyle w:val="Heading4"/>
        <w:spacing w:before="0" w:after="0"/>
      </w:pPr>
      <w:r>
        <w:t xml:space="preserve">Creating a supportive environment in school and </w:t>
      </w:r>
      <w:proofErr w:type="spellStart"/>
      <w:r>
        <w:t>minimising</w:t>
      </w:r>
      <w:proofErr w:type="spellEnd"/>
      <w:r>
        <w:t xml:space="preserve"> the risk of child-on-child abuse</w:t>
      </w:r>
    </w:p>
    <w:p>
      <w:pPr>
        <w:spacing w:after="0"/>
      </w:pPr>
      <w:r>
        <w:t xml:space="preserve">We </w:t>
      </w:r>
      <w:proofErr w:type="spellStart"/>
      <w:r>
        <w:t>recognise</w:t>
      </w:r>
      <w:proofErr w:type="spellEnd"/>
      <w:r>
        <w:t xml:space="preserve"> the importance of taking proactive action to </w:t>
      </w:r>
      <w:proofErr w:type="spellStart"/>
      <w:r>
        <w:t>minimise</w:t>
      </w:r>
      <w:proofErr w:type="spellEnd"/>
      <w:r>
        <w:t xml:space="preserve"> the risk of child-on-child abuse, and of creating a supportive environment where victims feel confident in reporting incidents.</w:t>
      </w:r>
    </w:p>
    <w:p>
      <w:pPr>
        <w:spacing w:after="0"/>
      </w:pPr>
      <w:r>
        <w:t>To achieve this, we will:</w:t>
      </w:r>
    </w:p>
    <w:p>
      <w:pPr>
        <w:pStyle w:val="ListParagraph"/>
        <w:numPr>
          <w:ilvl w:val="0"/>
          <w:numId w:val="63"/>
        </w:numPr>
        <w:spacing w:after="0"/>
      </w:pPr>
      <w:r>
        <w:t xml:space="preserve">Challenge any form of derogatory or </w:t>
      </w:r>
      <w:proofErr w:type="spellStart"/>
      <w:r>
        <w:t>sexualised</w:t>
      </w:r>
      <w:proofErr w:type="spellEnd"/>
      <w:r>
        <w:t xml:space="preserve"> language or inappropriate </w:t>
      </w:r>
      <w:proofErr w:type="spellStart"/>
      <w:r>
        <w:t>behaviour</w:t>
      </w:r>
      <w:proofErr w:type="spellEnd"/>
      <w:r>
        <w:t xml:space="preserve"> between peers, including requesting or sending sexual images.</w:t>
      </w:r>
    </w:p>
    <w:p>
      <w:pPr>
        <w:pStyle w:val="ListParagraph"/>
        <w:numPr>
          <w:ilvl w:val="0"/>
          <w:numId w:val="63"/>
        </w:numPr>
        <w:spacing w:after="0"/>
      </w:pPr>
      <w:r>
        <w:t xml:space="preserve">Be vigilant to issues that particularly affect different genders – for example, </w:t>
      </w:r>
      <w:proofErr w:type="spellStart"/>
      <w:r>
        <w:t>sexualised</w:t>
      </w:r>
      <w:proofErr w:type="spellEnd"/>
      <w:r>
        <w:t xml:space="preserve"> or aggressive touching or grabbing towards female pupils, and initiation or hazing type violence with respect to boys.</w:t>
      </w:r>
    </w:p>
    <w:p>
      <w:pPr>
        <w:pStyle w:val="ListParagraph"/>
        <w:numPr>
          <w:ilvl w:val="0"/>
          <w:numId w:val="63"/>
        </w:numPr>
        <w:spacing w:after="0"/>
      </w:pPr>
      <w:r>
        <w:t xml:space="preserve">Ensure our curriculum helps to educate pupils about appropriate </w:t>
      </w:r>
      <w:proofErr w:type="spellStart"/>
      <w:r>
        <w:t>behaviour</w:t>
      </w:r>
      <w:proofErr w:type="spellEnd"/>
      <w:r>
        <w:t xml:space="preserve"> and consent.</w:t>
      </w:r>
    </w:p>
    <w:p>
      <w:pPr>
        <w:pStyle w:val="ListParagraph"/>
        <w:numPr>
          <w:ilvl w:val="0"/>
          <w:numId w:val="63"/>
        </w:numPr>
        <w:spacing w:after="0"/>
      </w:pPr>
      <w:r>
        <w:t>Ensure pupils are able to easily and confidently report abuse using our reporting systems (as described in section 7.10 below).</w:t>
      </w:r>
    </w:p>
    <w:p>
      <w:pPr>
        <w:pStyle w:val="ListParagraph"/>
        <w:numPr>
          <w:ilvl w:val="0"/>
          <w:numId w:val="63"/>
        </w:numPr>
        <w:spacing w:after="0"/>
      </w:pPr>
      <w:r>
        <w:t>Ensure staff reassure victims that they are being taken seriously.</w:t>
      </w:r>
    </w:p>
    <w:p>
      <w:pPr>
        <w:pStyle w:val="ListParagraph"/>
        <w:numPr>
          <w:ilvl w:val="0"/>
          <w:numId w:val="63"/>
        </w:numPr>
        <w:spacing w:after="0"/>
      </w:pPr>
      <w: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pPr>
        <w:pStyle w:val="ListParagraph"/>
        <w:numPr>
          <w:ilvl w:val="0"/>
          <w:numId w:val="63"/>
        </w:numPr>
        <w:spacing w:after="0"/>
      </w:pPr>
      <w:r>
        <w:t>Support children who have witnessed sexual violence, especially rape or assault by penetration. We will do all we can to make sure the victim, alleged perpetrator(s) and any witnesses are not bullied or harassed.</w:t>
      </w:r>
    </w:p>
    <w:p>
      <w:pPr>
        <w:pStyle w:val="ListParagraph"/>
        <w:numPr>
          <w:ilvl w:val="0"/>
          <w:numId w:val="63"/>
        </w:numPr>
        <w:spacing w:after="0"/>
      </w:pPr>
      <w:r>
        <w:t>Consider intra-familial harms and any necessary support for siblings following a report of sexual violence and/or harassment.</w:t>
      </w:r>
    </w:p>
    <w:p>
      <w:pPr>
        <w:spacing w:after="0"/>
      </w:pPr>
    </w:p>
    <w:p>
      <w:pPr>
        <w:spacing w:after="0"/>
      </w:pPr>
      <w:r>
        <w:t>The Headteacher, with the support from the DSL, will take the lead role in any disciplining of the alleged perpetrator(s). We will provide support at the same time as taking any disciplinary action.</w:t>
      </w:r>
    </w:p>
    <w:p>
      <w:pPr>
        <w:spacing w:after="0"/>
      </w:pPr>
    </w:p>
    <w:p>
      <w:pPr>
        <w:spacing w:after="0"/>
      </w:pPr>
      <w:r>
        <w:t>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w:t>
      </w:r>
    </w:p>
    <w:p>
      <w:pPr>
        <w:pStyle w:val="ListParagraph"/>
        <w:numPr>
          <w:ilvl w:val="0"/>
          <w:numId w:val="62"/>
        </w:numPr>
        <w:spacing w:after="0"/>
      </w:pPr>
      <w:r>
        <w:t>Taking action would prejudice an investigation and/or subsequent prosecution – we will liaise with the police and/or local authority children’s social care to determine this.</w:t>
      </w:r>
    </w:p>
    <w:p>
      <w:pPr>
        <w:pStyle w:val="ListParagraph"/>
        <w:numPr>
          <w:ilvl w:val="0"/>
          <w:numId w:val="62"/>
        </w:numPr>
        <w:spacing w:after="0"/>
      </w:pPr>
      <w:r>
        <w:t xml:space="preserve">There are circumstances that make it unreasonable or irrational for us to reach our own view about what happened while an independent investigation is ongoing.  </w:t>
      </w:r>
    </w:p>
    <w:p>
      <w:pPr>
        <w:pStyle w:val="1bodycopy10pt"/>
      </w:pPr>
      <w:bookmarkStart w:id="110" w:name="_Toc172030642"/>
    </w:p>
    <w:p>
      <w:pPr>
        <w:pStyle w:val="1bodycopy10pt"/>
      </w:pPr>
    </w:p>
    <w:p>
      <w:pPr>
        <w:pStyle w:val="Heading2"/>
        <w:rPr>
          <w:sz w:val="28"/>
        </w:rPr>
      </w:pPr>
      <w:r>
        <w:rPr>
          <w:sz w:val="28"/>
        </w:rPr>
        <w:lastRenderedPageBreak/>
        <w:t>25. Referral to local authority children’s social care (CRS – Children’s Resource Service)</w:t>
      </w:r>
    </w:p>
    <w:p>
      <w:pPr>
        <w:pStyle w:val="1bodycopy10pt"/>
        <w:spacing w:after="0"/>
        <w:rPr>
          <w:sz w:val="22"/>
        </w:rPr>
      </w:pPr>
      <w:r>
        <w:rPr>
          <w:rFonts w:ascii="Calibri" w:hAnsi="Calibri" w:cs="Calibri"/>
          <w:sz w:val="22"/>
        </w:rPr>
        <w:t xml:space="preserve">Local authorities, with the help of other </w:t>
      </w:r>
      <w:proofErr w:type="spellStart"/>
      <w:r>
        <w:rPr>
          <w:rFonts w:ascii="Calibri" w:hAnsi="Calibri" w:cs="Calibri"/>
          <w:sz w:val="22"/>
        </w:rPr>
        <w:t>organisations</w:t>
      </w:r>
      <w:proofErr w:type="spellEnd"/>
      <w:r>
        <w:rPr>
          <w:rFonts w:ascii="Calibri" w:hAnsi="Calibri" w:cs="Calibri"/>
          <w:sz w:val="22"/>
        </w:rPr>
        <w:t xml:space="preserve"> as appropriate, have a duty to make enquires under Section 47 of the Children Act 1989 if they have reasonable cause to suspect that a child is suffering from, or is likely to suffer harm.  Such enquiries enable them to decide whether they should take any action to safeguard and promote the child’s welfare and must be initiated where there are concerns about maltreatment.  This includes all forms of abuse and neglect.</w:t>
      </w:r>
    </w:p>
    <w:p>
      <w:pPr>
        <w:pStyle w:val="1bodycopy10pt"/>
        <w:spacing w:after="0"/>
        <w:rPr>
          <w:sz w:val="22"/>
        </w:rPr>
      </w:pPr>
      <w:r>
        <w:rPr>
          <w:rFonts w:ascii="Calibri" w:hAnsi="Calibri" w:cs="Calibri"/>
          <w:sz w:val="22"/>
        </w:rPr>
        <w:t xml:space="preserve"> </w:t>
      </w:r>
    </w:p>
    <w:p>
      <w:pPr>
        <w:pStyle w:val="1bodycopy10pt"/>
        <w:spacing w:after="0"/>
        <w:rPr>
          <w:sz w:val="22"/>
        </w:rPr>
      </w:pPr>
      <w:r>
        <w:rPr>
          <w:rFonts w:ascii="Calibri" w:hAnsi="Calibri" w:cs="Calibri"/>
          <w:sz w:val="22"/>
        </w:rPr>
        <w:t xml:space="preserve">Any member of staff can make a referral to the local authority children’s social care (CRS) if they are concerned about a pupil.  In order to ensure simplicity and point of contact for external agencies, it is </w:t>
      </w:r>
      <w:proofErr w:type="spellStart"/>
      <w:r>
        <w:rPr>
          <w:rFonts w:ascii="Calibri" w:hAnsi="Calibri" w:cs="Calibri"/>
          <w:sz w:val="22"/>
        </w:rPr>
        <w:t>Highfield’s</w:t>
      </w:r>
      <w:proofErr w:type="spellEnd"/>
      <w:r>
        <w:rPr>
          <w:rFonts w:ascii="Calibri" w:hAnsi="Calibri" w:cs="Calibri"/>
          <w:sz w:val="22"/>
        </w:rPr>
        <w:t xml:space="preserve"> policy that the DSL will make a referral to the CRS if it is believed that a pupil is suffering or is at risk of suffering significant harm. The pupil (subject to their age and understanding) and the parents will be told that a referral is being made, unless to do so would increase the risk to the child.</w:t>
      </w:r>
    </w:p>
    <w:p>
      <w:pPr>
        <w:pStyle w:val="1bodycopy10pt"/>
        <w:spacing w:after="0"/>
        <w:rPr>
          <w:sz w:val="22"/>
        </w:rPr>
      </w:pPr>
      <w:r>
        <w:rPr>
          <w:rFonts w:ascii="Calibri" w:hAnsi="Calibri" w:cs="Calibri"/>
          <w:sz w:val="22"/>
        </w:rPr>
        <w:t xml:space="preserve"> </w:t>
      </w:r>
    </w:p>
    <w:p>
      <w:pPr>
        <w:pStyle w:val="1bodycopy10pt"/>
        <w:spacing w:after="0"/>
        <w:rPr>
          <w:sz w:val="22"/>
        </w:rPr>
      </w:pPr>
      <w:r>
        <w:rPr>
          <w:rFonts w:ascii="Calibri" w:hAnsi="Calibri" w:cs="Calibri"/>
          <w:sz w:val="22"/>
        </w:rPr>
        <w:t>In the unlikely event that the DSL or DDSL is not available and you need to make an urgent referral to the CRS, advice can be sought by calling</w:t>
      </w:r>
      <w:r>
        <w:rPr>
          <w:rFonts w:ascii="Calibri" w:hAnsi="Calibri" w:cs="Calibri"/>
          <w:b/>
          <w:bCs/>
          <w:sz w:val="22"/>
        </w:rPr>
        <w:t>; 02380 832300</w:t>
      </w:r>
      <w:r>
        <w:rPr>
          <w:rFonts w:ascii="Calibri" w:hAnsi="Calibri" w:cs="Calibri"/>
          <w:sz w:val="22"/>
        </w:rPr>
        <w:t>.  It is likely you will then need to follow up your concerns in writing by making a referral; https://scccrmportal.southampton.gov.uk/services/request-childrens-resource-service</w:t>
      </w:r>
    </w:p>
    <w:p>
      <w:pPr>
        <w:pStyle w:val="1bodycopy10pt"/>
        <w:spacing w:after="0"/>
        <w:rPr>
          <w:sz w:val="22"/>
        </w:rPr>
      </w:pPr>
      <w:r>
        <w:rPr>
          <w:rFonts w:ascii="Calibri" w:hAnsi="Calibri" w:cs="Calibri"/>
          <w:sz w:val="22"/>
        </w:rPr>
        <w:t xml:space="preserve"> </w:t>
      </w:r>
    </w:p>
    <w:p>
      <w:pPr>
        <w:pStyle w:val="1bodycopy10pt"/>
        <w:spacing w:after="0"/>
        <w:rPr>
          <w:sz w:val="22"/>
        </w:rPr>
      </w:pPr>
      <w:r>
        <w:rPr>
          <w:rFonts w:ascii="Calibri" w:hAnsi="Calibri" w:cs="Calibri"/>
          <w:sz w:val="22"/>
        </w:rPr>
        <w:t xml:space="preserve">Further advice on safeguarding and support services can be found within the Southampton Children and Young People’s Pathway document; </w:t>
      </w:r>
      <w:hyperlink r:id="rId61" w:history="1">
        <w:r>
          <w:rPr>
            <w:rStyle w:val="Hyperlink"/>
            <w:rFonts w:ascii="Calibri" w:hAnsi="Calibri" w:cs="Calibri"/>
            <w:sz w:val="22"/>
          </w:rPr>
          <w:t>https://www.southampton.gov.uk/media/owofelhk/152-53-pathway-document-8.pdf</w:t>
        </w:r>
      </w:hyperlink>
      <w:r>
        <w:rPr>
          <w:rFonts w:ascii="Calibri" w:hAnsi="Calibri" w:cs="Calibri"/>
          <w:sz w:val="22"/>
        </w:rPr>
        <w:t xml:space="preserve"> </w:t>
      </w:r>
    </w:p>
    <w:p>
      <w:pPr>
        <w:pStyle w:val="Heading2"/>
        <w:spacing w:after="120"/>
        <w:rPr>
          <w:color w:val="FF0000"/>
          <w:sz w:val="28"/>
          <w:szCs w:val="32"/>
        </w:rPr>
      </w:pPr>
      <w:r>
        <w:rPr>
          <w:sz w:val="28"/>
          <w:szCs w:val="32"/>
        </w:rPr>
        <w:t>26. Early Help</w:t>
      </w:r>
      <w:bookmarkEnd w:id="110"/>
    </w:p>
    <w:p>
      <w:pPr>
        <w:spacing w:after="0"/>
      </w:pPr>
      <w:r>
        <w:t>Early help means providing support as soon as a problem emerges at any point in a child’s life, from the foundation years through to the teenage years. It is not an individual service, but a system of support delivered by local authorities and their partners working together and taking collective responsibility to provide the right provision in their area. The guidance on ‘Early help’ has also been amended in line with Working together. The update adds that professionals should be alert to the need for early help for a child who:</w:t>
      </w:r>
    </w:p>
    <w:p>
      <w:pPr>
        <w:pStyle w:val="ListParagraph"/>
        <w:numPr>
          <w:ilvl w:val="0"/>
          <w:numId w:val="103"/>
        </w:numPr>
        <w:spacing w:after="0"/>
      </w:pPr>
      <w:r>
        <w:t>is frequently missing/goes missing from education, home or care</w:t>
      </w:r>
    </w:p>
    <w:p>
      <w:pPr>
        <w:pStyle w:val="ListParagraph"/>
        <w:numPr>
          <w:ilvl w:val="0"/>
          <w:numId w:val="103"/>
        </w:numPr>
        <w:spacing w:after="0"/>
      </w:pPr>
      <w:r>
        <w:t>has experienced multiple suspensions, is at risk of being permanently excluded from schools, colleges and in alternative provision or a pupil referral unit</w:t>
      </w:r>
    </w:p>
    <w:p>
      <w:pPr>
        <w:pStyle w:val="ListParagraph"/>
        <w:numPr>
          <w:ilvl w:val="0"/>
          <w:numId w:val="103"/>
        </w:numPr>
        <w:spacing w:after="0"/>
      </w:pPr>
      <w:r>
        <w:t xml:space="preserve">has a parent or </w:t>
      </w:r>
      <w:proofErr w:type="spellStart"/>
      <w:r>
        <w:t>carer</w:t>
      </w:r>
      <w:proofErr w:type="spellEnd"/>
      <w:r>
        <w:t xml:space="preserve"> in custody or is affected by parental offending.</w:t>
      </w:r>
    </w:p>
    <w:p>
      <w:pPr>
        <w:spacing w:before="240" w:after="240"/>
      </w:pPr>
      <w:r>
        <w:t xml:space="preserve">Some early help is provided through “universal services” such as education and health services. They are universal services because they are available to all families, regardless of their needs. </w:t>
      </w:r>
    </w:p>
    <w:p>
      <w:pPr>
        <w:spacing w:before="240" w:after="240"/>
      </w:pPr>
      <w:r>
        <w:t>All staff should be prepared to identify children who may benefit from early help. All staff should be aware of their local early help process and understand their role in it. 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 We will discuss and agree, with statutory safeguarding partners, levels for the different types of assessment, as part of local arrangements.</w:t>
      </w:r>
    </w:p>
    <w:p>
      <w:pPr>
        <w:spacing w:before="240" w:after="240"/>
      </w:pPr>
      <w:r>
        <w:t>The DSL will keep the case under constant review and the school will consider a referral to local authority children’s social care if the situation does not seem to be improving. Timelines of interventions will be monitored and reviewed.</w:t>
      </w:r>
    </w:p>
    <w:p>
      <w:pPr>
        <w:spacing w:before="240" w:after="240"/>
        <w:rPr>
          <w:rFonts w:ascii="Arial" w:eastAsia="Arial" w:hAnsi="Arial" w:cs="Arial"/>
          <w:b/>
        </w:rPr>
      </w:pPr>
    </w:p>
    <w:p>
      <w:pPr>
        <w:spacing w:before="240" w:after="240"/>
        <w:rPr>
          <w:rFonts w:ascii="Arial" w:eastAsia="Arial" w:hAnsi="Arial" w:cs="Arial"/>
          <w:b/>
        </w:rPr>
      </w:pPr>
      <w:r>
        <w:rPr>
          <w:rFonts w:ascii="Arial" w:eastAsia="Arial" w:hAnsi="Arial" w:cs="Arial"/>
          <w:b/>
        </w:rPr>
        <w:lastRenderedPageBreak/>
        <w:t>Figure 1: procedure if you have concerns about a child’s welfare (as opposed to believing a child is suffering or likely to suffer from harm, or in immediate danger)</w:t>
      </w:r>
    </w:p>
    <w:p>
      <w:pPr>
        <w:spacing w:before="240" w:after="240"/>
        <w:jc w:val="center"/>
        <w:rPr>
          <w:sz w:val="18"/>
          <w:szCs w:val="18"/>
        </w:rPr>
      </w:pPr>
      <w:r>
        <w:rPr>
          <w:noProof/>
          <w:lang w:val="en-GB"/>
        </w:rPr>
        <w:drawing>
          <wp:inline distT="0" distB="0" distL="0" distR="0">
            <wp:extent cx="5507632" cy="5245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5518600" cy="5255545"/>
                    </a:xfrm>
                    <a:prstGeom prst="rect">
                      <a:avLst/>
                    </a:prstGeom>
                  </pic:spPr>
                </pic:pic>
              </a:graphicData>
            </a:graphic>
          </wp:inline>
        </w:drawing>
      </w:r>
    </w:p>
    <w:p>
      <w:pPr>
        <w:pStyle w:val="Heading2"/>
        <w:rPr>
          <w:sz w:val="28"/>
        </w:rPr>
      </w:pPr>
      <w:bookmarkStart w:id="111" w:name="_heading=h.206wcvggv8ia" w:colFirst="0" w:colLast="0"/>
      <w:bookmarkStart w:id="112" w:name="_Toc172030643"/>
      <w:bookmarkEnd w:id="111"/>
      <w:r>
        <w:rPr>
          <w:sz w:val="28"/>
        </w:rPr>
        <w:t>25. Reporting systems for our pupils</w:t>
      </w:r>
      <w:bookmarkEnd w:id="112"/>
    </w:p>
    <w:p>
      <w:pPr>
        <w:spacing w:after="0"/>
        <w:rPr>
          <w:highlight w:val="white"/>
        </w:rPr>
      </w:pPr>
      <w:r>
        <w:rPr>
          <w:highlight w:val="white"/>
        </w:rPr>
        <w:t>Where there is a safeguarding concern, we will take the child’s wishes and feelings into account when determining what action to take and what services to provide.</w:t>
      </w:r>
    </w:p>
    <w:p>
      <w:pPr>
        <w:spacing w:after="0"/>
        <w:rPr>
          <w:highlight w:val="white"/>
        </w:rPr>
      </w:pPr>
      <w:r>
        <w:rPr>
          <w:highlight w:val="white"/>
        </w:rPr>
        <w:t xml:space="preserve">We </w:t>
      </w:r>
      <w:proofErr w:type="spellStart"/>
      <w:r>
        <w:rPr>
          <w:highlight w:val="white"/>
        </w:rPr>
        <w:t>recognise</w:t>
      </w:r>
      <w:proofErr w:type="spellEnd"/>
      <w:r>
        <w:rPr>
          <w:highlight w:val="white"/>
        </w:rPr>
        <w:t xml:space="preserve"> the importance of ensuring pupils feel safe and comfortable to come forward and report any concerns and/or allegations.</w:t>
      </w:r>
    </w:p>
    <w:p>
      <w:pPr>
        <w:spacing w:after="0"/>
        <w:rPr>
          <w:highlight w:val="white"/>
        </w:rPr>
      </w:pPr>
      <w:r>
        <w:rPr>
          <w:highlight w:val="white"/>
        </w:rPr>
        <w:t>To achieve this, we will:</w:t>
      </w:r>
    </w:p>
    <w:p>
      <w:pPr>
        <w:numPr>
          <w:ilvl w:val="0"/>
          <w:numId w:val="15"/>
        </w:numPr>
        <w:spacing w:after="0"/>
        <w:rPr>
          <w:highlight w:val="white"/>
        </w:rPr>
      </w:pPr>
      <w:r>
        <w:rPr>
          <w:highlight w:val="white"/>
        </w:rPr>
        <w:t>Put systems in place for pupils to confidently report abuse</w:t>
      </w:r>
    </w:p>
    <w:p>
      <w:pPr>
        <w:numPr>
          <w:ilvl w:val="0"/>
          <w:numId w:val="15"/>
        </w:numPr>
        <w:spacing w:after="0"/>
        <w:rPr>
          <w:highlight w:val="white"/>
        </w:rPr>
      </w:pPr>
      <w:r>
        <w:rPr>
          <w:highlight w:val="white"/>
        </w:rPr>
        <w:t>Ensure our reporting systems are well promoted, easily understood and easily accessible for pupils</w:t>
      </w:r>
    </w:p>
    <w:p>
      <w:pPr>
        <w:numPr>
          <w:ilvl w:val="0"/>
          <w:numId w:val="15"/>
        </w:numPr>
        <w:spacing w:after="0"/>
        <w:rPr>
          <w:highlight w:val="white"/>
        </w:rPr>
      </w:pPr>
      <w:r>
        <w:rPr>
          <w:highlight w:val="white"/>
        </w:rPr>
        <w:t>Make it clear to pupils that their concerns will be taken seriously, and that they can safely express their views and give feedback</w:t>
      </w:r>
    </w:p>
    <w:p>
      <w:pPr>
        <w:pStyle w:val="Heading2"/>
        <w:keepNext w:val="0"/>
        <w:keepLines w:val="0"/>
        <w:spacing w:after="0" w:line="276" w:lineRule="auto"/>
        <w:rPr>
          <w:sz w:val="28"/>
          <w:szCs w:val="34"/>
        </w:rPr>
      </w:pPr>
      <w:bookmarkStart w:id="113" w:name="_heading=h.twf2wc205vnr" w:colFirst="0" w:colLast="0"/>
      <w:bookmarkStart w:id="114" w:name="_Toc172030644"/>
      <w:bookmarkEnd w:id="113"/>
    </w:p>
    <w:p>
      <w:pPr>
        <w:pStyle w:val="Heading2"/>
        <w:keepNext w:val="0"/>
        <w:keepLines w:val="0"/>
        <w:spacing w:after="0" w:line="276" w:lineRule="auto"/>
        <w:rPr>
          <w:sz w:val="28"/>
          <w:szCs w:val="34"/>
        </w:rPr>
      </w:pPr>
      <w:r>
        <w:rPr>
          <w:sz w:val="28"/>
          <w:szCs w:val="34"/>
        </w:rPr>
        <w:t>27. Notifying parents</w:t>
      </w:r>
      <w:bookmarkEnd w:id="114"/>
    </w:p>
    <w:p>
      <w:pPr>
        <w:spacing w:before="120" w:after="120"/>
      </w:pPr>
      <w:r>
        <w:lastRenderedPageBreak/>
        <w:t xml:space="preserve">Where appropriate, we will discuss any concerns about a child with the child’s parents or </w:t>
      </w:r>
      <w:proofErr w:type="spellStart"/>
      <w:r>
        <w:t>carers</w:t>
      </w:r>
      <w:proofErr w:type="spellEnd"/>
      <w:r>
        <w:t xml:space="preserve">. The DSL will normally do this in the event of a suspicion or allegation. Other staff will only talk to parents or </w:t>
      </w:r>
      <w:proofErr w:type="spellStart"/>
      <w:r>
        <w:t>carers</w:t>
      </w:r>
      <w:proofErr w:type="spellEnd"/>
      <w:r>
        <w:t xml:space="preserve"> about any such concerns following consultation with the DSL.</w:t>
      </w:r>
    </w:p>
    <w:p>
      <w:pPr>
        <w:spacing w:before="240" w:after="240"/>
      </w:pPr>
      <w:r>
        <w:t xml:space="preserve">If we believe that notifying the parents or </w:t>
      </w:r>
      <w:proofErr w:type="spellStart"/>
      <w:r>
        <w:t>carers</w:t>
      </w:r>
      <w:proofErr w:type="spellEnd"/>
      <w:r>
        <w:t xml:space="preserve"> would increase the risk to the child, we will discuss this with the local authority children’s social care team before doing so.</w:t>
      </w:r>
    </w:p>
    <w:p>
      <w:pPr>
        <w:spacing w:before="240" w:after="240"/>
      </w:pPr>
      <w:r>
        <w:t xml:space="preserve">In the case of allegations of abuse made against other children, we will normally notify the parents or </w:t>
      </w:r>
      <w:proofErr w:type="spellStart"/>
      <w:r>
        <w:t>carers</w:t>
      </w:r>
      <w:proofErr w:type="spellEnd"/>
      <w:r>
        <w:t xml:space="preserve"> of all the children involved. We will think carefully about what information we provide about the other child involved, and when. We will work with the police and/or local authority children’s social care to make sure our approach to information sharing is consistent.</w:t>
      </w:r>
    </w:p>
    <w:p>
      <w:pPr>
        <w:spacing w:before="120" w:after="80"/>
      </w:pPr>
      <w:r>
        <w:t>The DSL will, along with any relevant agencies (this will be decided on a case-by-case basis):</w:t>
      </w:r>
    </w:p>
    <w:p>
      <w:pPr>
        <w:numPr>
          <w:ilvl w:val="0"/>
          <w:numId w:val="22"/>
        </w:numPr>
        <w:spacing w:after="0"/>
      </w:pPr>
      <w:r>
        <w:t xml:space="preserve">Meet with the victim’s parents or </w:t>
      </w:r>
      <w:proofErr w:type="spellStart"/>
      <w:r>
        <w:t>carers</w:t>
      </w:r>
      <w:proofErr w:type="spellEnd"/>
      <w:r>
        <w:t>, with the victim, to discuss what’s being put in place to safeguard them, and understand their wishes in terms of what support they may need and how the report will be progressed.</w:t>
      </w:r>
    </w:p>
    <w:p>
      <w:pPr>
        <w:numPr>
          <w:ilvl w:val="0"/>
          <w:numId w:val="22"/>
        </w:numPr>
        <w:spacing w:after="120"/>
      </w:pPr>
      <w:r>
        <w:t xml:space="preserve">Meet with the alleged perpetrator’s parents or </w:t>
      </w:r>
      <w:proofErr w:type="spellStart"/>
      <w:r>
        <w:t>carers</w:t>
      </w:r>
      <w:proofErr w:type="spellEnd"/>
      <w:r>
        <w:t xml:space="preserve"> to discuss support for them, and what’s being put in place that will impact them, e.g. moving them out of classes with the victim, and the reason(s) behind any decision(s).  </w:t>
      </w:r>
    </w:p>
    <w:p>
      <w:pPr>
        <w:pStyle w:val="Heading2"/>
        <w:rPr>
          <w:sz w:val="28"/>
        </w:rPr>
      </w:pPr>
      <w:bookmarkStart w:id="115" w:name="_Toc172030645"/>
      <w:r>
        <w:rPr>
          <w:sz w:val="28"/>
        </w:rPr>
        <w:t>28. Record-keeping</w:t>
      </w:r>
      <w:bookmarkEnd w:id="115"/>
    </w:p>
    <w:p>
      <w:pPr>
        <w:spacing w:after="0"/>
      </w:pPr>
      <w:r>
        <w:t>We will hold records in line with our records retention schedule.</w:t>
      </w:r>
    </w:p>
    <w:p>
      <w:pPr>
        <w:spacing w:after="0"/>
      </w:pPr>
      <w:r>
        <w:t>We use CPOMS for all child protection record keeping and staff can use our user guide - T:\Teachers Only New\Safeguarding\</w:t>
      </w:r>
      <w:proofErr w:type="spellStart"/>
      <w:r>
        <w:t>Cpoms</w:t>
      </w:r>
      <w:proofErr w:type="spellEnd"/>
      <w:r>
        <w:t xml:space="preserve"> </w:t>
      </w:r>
    </w:p>
    <w:p>
      <w:pPr>
        <w:spacing w:after="0"/>
      </w:pPr>
    </w:p>
    <w:p>
      <w:pPr>
        <w:spacing w:after="0"/>
      </w:pPr>
      <w:r>
        <w:t xml:space="preserve">All safeguarding concerns, discussions, decisions made and the rationale for those decisions, must be recorded in writing. This should include instances where referrals were or were not made to another agency such as local authority children’s social care or the Prevent </w:t>
      </w:r>
      <w:proofErr w:type="spellStart"/>
      <w:r>
        <w:t>programme</w:t>
      </w:r>
      <w:proofErr w:type="spellEnd"/>
      <w:r>
        <w:t>, etc. If you are in any doubt about whether to record something, discuss it with the DSL.</w:t>
      </w:r>
    </w:p>
    <w:p>
      <w:pPr>
        <w:spacing w:after="0"/>
      </w:pPr>
      <w:r>
        <w:t>Records will include:</w:t>
      </w:r>
    </w:p>
    <w:p>
      <w:pPr>
        <w:numPr>
          <w:ilvl w:val="0"/>
          <w:numId w:val="12"/>
        </w:numPr>
        <w:spacing w:after="0"/>
      </w:pPr>
      <w:r>
        <w:t>A clear and comprehensive summary of the concern</w:t>
      </w:r>
    </w:p>
    <w:p>
      <w:pPr>
        <w:numPr>
          <w:ilvl w:val="0"/>
          <w:numId w:val="12"/>
        </w:numPr>
        <w:spacing w:after="0"/>
      </w:pPr>
      <w:r>
        <w:t>Details of how the concern was followed up and resolved</w:t>
      </w:r>
    </w:p>
    <w:p>
      <w:pPr>
        <w:numPr>
          <w:ilvl w:val="0"/>
          <w:numId w:val="12"/>
        </w:numPr>
        <w:spacing w:after="0"/>
      </w:pPr>
      <w:r>
        <w:t>A note of any action taken, decisions reached and the outcome</w:t>
      </w:r>
    </w:p>
    <w:p>
      <w:pPr>
        <w:spacing w:before="240" w:after="240"/>
      </w:pPr>
      <w:r>
        <w:t xml:space="preserve">Concerns and referrals will be kept in a separate child protection file for each child on CPOMS. </w:t>
      </w:r>
    </w:p>
    <w:p>
      <w:pPr>
        <w:spacing w:before="240" w:after="240"/>
      </w:pPr>
      <w:r>
        <w:t>Any non-confidential records will be readily accessible and available. Confidential information and records will be held securely and only available to those who have a right or professional need to see them.</w:t>
      </w:r>
    </w:p>
    <w:p>
      <w:pPr>
        <w:spacing w:before="240" w:after="240"/>
      </w:pPr>
      <w:r>
        <w:t>Safeguarding records relating to individual children will be retained for a reasonable period of time after they have left the school.</w:t>
      </w:r>
    </w:p>
    <w:p>
      <w:pPr>
        <w:spacing w:before="240" w:after="240"/>
      </w:pPr>
      <w:r>
        <w:t>If a child for whom the school has, or has had, safeguarding concerns moves to another school, the DSL will ensure that their child protection file is forwarded as soon as possible, securely, and separately from the main pupil file.</w:t>
      </w:r>
    </w:p>
    <w:p>
      <w:pPr>
        <w:spacing w:after="0"/>
      </w:pPr>
      <w:r>
        <w:t>To allow the new school/college to have support in place when the child arrives, this should be within:</w:t>
      </w:r>
    </w:p>
    <w:p>
      <w:pPr>
        <w:numPr>
          <w:ilvl w:val="0"/>
          <w:numId w:val="16"/>
        </w:numPr>
        <w:spacing w:after="0"/>
      </w:pPr>
      <w:r>
        <w:rPr>
          <w:b/>
        </w:rPr>
        <w:t xml:space="preserve">5 days </w:t>
      </w:r>
      <w:r>
        <w:t xml:space="preserve">for an in-year transfer, or within </w:t>
      </w:r>
    </w:p>
    <w:p>
      <w:pPr>
        <w:numPr>
          <w:ilvl w:val="0"/>
          <w:numId w:val="16"/>
        </w:numPr>
        <w:spacing w:after="0"/>
      </w:pPr>
      <w:r>
        <w:rPr>
          <w:b/>
        </w:rPr>
        <w:t xml:space="preserve">The first 5 days </w:t>
      </w:r>
      <w:r>
        <w:t>of the start of a new term</w:t>
      </w:r>
    </w:p>
    <w:p>
      <w:pPr>
        <w:spacing w:after="0"/>
      </w:pPr>
      <w:r>
        <w:lastRenderedPageBreak/>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bookmarkStart w:id="116" w:name="_heading=h.wfd5ymia55c9" w:colFirst="0" w:colLast="0"/>
      <w:bookmarkEnd w:id="116"/>
    </w:p>
    <w:p>
      <w:pPr>
        <w:spacing w:after="0"/>
      </w:pPr>
    </w:p>
    <w:p>
      <w:pPr>
        <w:pStyle w:val="Heading2"/>
        <w:rPr>
          <w:sz w:val="28"/>
        </w:rPr>
      </w:pPr>
      <w:bookmarkStart w:id="117" w:name="_heading=h.gk1xyanig2ah" w:colFirst="0" w:colLast="0"/>
      <w:bookmarkStart w:id="118" w:name="_Toc172030646"/>
      <w:bookmarkEnd w:id="117"/>
      <w:r>
        <w:rPr>
          <w:sz w:val="28"/>
        </w:rPr>
        <w:t>29. If you have Concerns about a Staff Member, Supply Teacher, Volunteer or Contractor / Allegations Against Staff</w:t>
      </w:r>
      <w:bookmarkEnd w:id="118"/>
      <w:r>
        <w:rPr>
          <w:sz w:val="28"/>
        </w:rPr>
        <w:t xml:space="preserve"> </w:t>
      </w:r>
    </w:p>
    <w:p>
      <w:pPr>
        <w:spacing w:after="0"/>
      </w:pPr>
      <w:r>
        <w:t>When an allegation is made against a member of staff, set procedures must be followed, see Appendix 3 page 52 for further information.</w:t>
      </w:r>
    </w:p>
    <w:p>
      <w:pPr>
        <w:spacing w:after="0"/>
      </w:pPr>
    </w:p>
    <w:p>
      <w:pPr>
        <w:spacing w:after="0"/>
      </w:pPr>
      <w:r>
        <w:t>It is rare for a child to make an entirely false or malicious allegation, although misunderstandings and misinterpretations of events do happen.  A child may also make an allegation against an innocent party because they are too afraid to name the real perpetrator. Even so, we must accept that some professionals do pose a serious risk to pupils and we must act on every allegation.</w:t>
      </w:r>
    </w:p>
    <w:p>
      <w:pPr>
        <w:spacing w:after="0"/>
      </w:pPr>
    </w:p>
    <w:p>
      <w:pPr>
        <w:spacing w:after="0"/>
      </w:pPr>
      <w:r>
        <w:t>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governors.</w:t>
      </w:r>
    </w:p>
    <w:p>
      <w:pPr>
        <w:spacing w:after="0"/>
      </w:pPr>
    </w:p>
    <w:p>
      <w:pPr>
        <w:spacing w:after="0"/>
        <w:rPr>
          <w:highlight w:val="white"/>
        </w:rPr>
      </w:pPr>
      <w:r>
        <w:rPr>
          <w:highlight w:val="white"/>
        </w:rPr>
        <w:t xml:space="preserve">If you receive an allegation relating to an incident where an individual or </w:t>
      </w:r>
      <w:proofErr w:type="spellStart"/>
      <w:r>
        <w:rPr>
          <w:highlight w:val="white"/>
        </w:rPr>
        <w:t>organisation</w:t>
      </w:r>
      <w:proofErr w:type="spellEnd"/>
      <w:r>
        <w:rPr>
          <w:highlight w:val="white"/>
        </w:rPr>
        <w:t xml:space="preserve"> was using the school premises for running an activity for children, follow our school safeguarding policies and procedures, informing the LADO, as you would with any safeguarding allegation.</w:t>
      </w:r>
    </w:p>
    <w:p>
      <w:pPr>
        <w:spacing w:after="0"/>
        <w:rPr>
          <w:highlight w:val="white"/>
        </w:rPr>
      </w:pPr>
    </w:p>
    <w:p>
      <w:pPr>
        <w:spacing w:after="0"/>
      </w:pPr>
      <w:bookmarkStart w:id="119" w:name="_heading=h.hdj7fyjb1ygt" w:colFirst="0" w:colLast="0"/>
      <w:bookmarkEnd w:id="119"/>
      <w:r>
        <w:t>Staff who are the subject of an allegation have the right to have their case dealt with fairly, quickly and consistently and to be kept informed of its progress. Suspension is not the default option and alternatives to suspension will always be considered. In some cases, staff may be suspended where this is deemed to be the best way to ensure that children are protected.  In the event of suspension the school will provide support and a named contact for the member of staff.</w:t>
      </w:r>
    </w:p>
    <w:p>
      <w:pPr>
        <w:spacing w:after="0"/>
      </w:pPr>
    </w:p>
    <w:p>
      <w:pPr>
        <w:spacing w:after="0"/>
      </w:pPr>
      <w:r>
        <w:t>Staff, parents and governors are reminded that publication of material that may lead to the identification of a teacher who is the subject of an allegation is prohibited by law. Publication includes verbal conversations or writing, including content placed on social media sites.</w:t>
      </w:r>
    </w:p>
    <w:p>
      <w:pPr>
        <w:spacing w:after="0"/>
      </w:pPr>
      <w:r>
        <w:t>Allegations concerning staff who no longer work at the school, or historical allegations will be reported to the police.</w:t>
      </w:r>
    </w:p>
    <w:p>
      <w:pPr>
        <w:spacing w:after="0"/>
      </w:pPr>
      <w:bookmarkStart w:id="120" w:name="_heading=h.ug56lw1pac5o" w:colFirst="0" w:colLast="0"/>
      <w:bookmarkEnd w:id="120"/>
      <w:r>
        <w:t xml:space="preserve">Southampton City Council’s Designated Officer is: Jemma Swann </w:t>
      </w:r>
    </w:p>
    <w:p>
      <w:pPr>
        <w:spacing w:after="0"/>
      </w:pPr>
      <w:r>
        <w:t xml:space="preserve">Phone:  023 8091 </w:t>
      </w:r>
      <w:proofErr w:type="gramStart"/>
      <w:r>
        <w:t>5535  E-mail</w:t>
      </w:r>
      <w:proofErr w:type="gramEnd"/>
      <w:r>
        <w:t xml:space="preserve">:  </w:t>
      </w:r>
      <w:hyperlink r:id="rId63" w:history="1">
        <w:r>
          <w:rPr>
            <w:rStyle w:val="Hyperlink"/>
          </w:rPr>
          <w:t>LADO@southampton.gov.uk</w:t>
        </w:r>
      </w:hyperlink>
      <w:r>
        <w:t xml:space="preserve">  </w:t>
      </w:r>
    </w:p>
    <w:p>
      <w:pPr>
        <w:pStyle w:val="Heading3"/>
        <w:spacing w:before="360" w:after="120"/>
      </w:pPr>
      <w:bookmarkStart w:id="121" w:name="_Toc172030647"/>
      <w:r>
        <w:t>29.1 Abuse of Position of Trust</w:t>
      </w:r>
      <w:bookmarkEnd w:id="121"/>
      <w:r>
        <w:t xml:space="preserve"> </w:t>
      </w:r>
    </w:p>
    <w:p>
      <w:r>
        <w:t xml:space="preserve">All school staff are aware that inappropriate </w:t>
      </w:r>
      <w:proofErr w:type="spellStart"/>
      <w:r>
        <w:t>behaviour</w:t>
      </w:r>
      <w:proofErr w:type="spellEnd"/>
      <w:r>
        <w:t xml:space="preserve"> towards pupils is unacceptable and that their conduct towards pupils must be beyond reproach.</w:t>
      </w:r>
    </w:p>
    <w:p>
      <w:bookmarkStart w:id="122" w:name="_heading=h.tzwp2yt86l54" w:colFirst="0" w:colLast="0"/>
      <w:bookmarkEnd w:id="122"/>
      <w:r>
        <w:t>In addition, staff should understand that, under the Sexual Offences Act 2003, it is an offence for a person over the age of 18 to have a sexual relationship with a person under the age of 18, where that person is in a position of trust, even if the relationship is consensual. This means that any sexual activity between a member of the school staff and a pupil under 18 may be a criminal offence, even if that pupil is over the age of consent.</w:t>
      </w:r>
    </w:p>
    <w:p>
      <w:bookmarkStart w:id="123" w:name="_heading=h.jmhtxiyk4an2" w:colFirst="0" w:colLast="0"/>
      <w:bookmarkEnd w:id="123"/>
      <w:r>
        <w:t xml:space="preserve">The school’s Staff </w:t>
      </w:r>
      <w:proofErr w:type="spellStart"/>
      <w:r>
        <w:t>Behaviour</w:t>
      </w:r>
      <w:proofErr w:type="spellEnd"/>
      <w:r>
        <w:t xml:space="preserve"> Policy/Code of Conduct sets out our expectations of staff and is available to all staff members in the Employment Handbook.</w:t>
      </w:r>
    </w:p>
    <w:p>
      <w:pPr>
        <w:pStyle w:val="Heading3"/>
        <w:spacing w:before="360" w:after="120"/>
      </w:pPr>
      <w:bookmarkStart w:id="124" w:name="_heading=h.h58mw8dwn61v" w:colFirst="0" w:colLast="0"/>
      <w:bookmarkStart w:id="125" w:name="_Toc172030648"/>
      <w:bookmarkEnd w:id="124"/>
      <w:r>
        <w:lastRenderedPageBreak/>
        <w:t>29.2 Transferable Risk</w:t>
      </w:r>
      <w:bookmarkEnd w:id="125"/>
    </w:p>
    <w:p>
      <w:r>
        <w:t xml:space="preserve">Where a member of staff, supply teacher, contractor or volunteer professional behaves in a manner in their private lives that would make them unsuitable to work with children. Where appropriate, an assessment of transferable risk to children with whom the person works should be undertaken. If in doubt seek advice from the local authority designated officer (LADO). </w:t>
      </w:r>
    </w:p>
    <w:p>
      <w:pPr>
        <w:pStyle w:val="Heading2"/>
        <w:rPr>
          <w:sz w:val="28"/>
        </w:rPr>
      </w:pPr>
      <w:bookmarkStart w:id="126" w:name="_heading=h.gqlpx7yrbejc" w:colFirst="0" w:colLast="0"/>
      <w:bookmarkStart w:id="127" w:name="_Toc172030649"/>
      <w:bookmarkEnd w:id="126"/>
      <w:r>
        <w:rPr>
          <w:sz w:val="28"/>
        </w:rPr>
        <w:t>30. Complaints and concerns about school safeguarding policies</w:t>
      </w:r>
      <w:bookmarkEnd w:id="127"/>
    </w:p>
    <w:p>
      <w:pPr>
        <w:pStyle w:val="Heading3"/>
        <w:spacing w:before="120" w:after="120" w:line="240" w:lineRule="auto"/>
        <w:rPr>
          <w:sz w:val="24"/>
          <w:szCs w:val="24"/>
        </w:rPr>
      </w:pPr>
      <w:bookmarkStart w:id="128" w:name="_Toc172030650"/>
      <w:r>
        <w:rPr>
          <w:szCs w:val="24"/>
        </w:rPr>
        <w:t>30.1 Complaints against staff</w:t>
      </w:r>
      <w:bookmarkEnd w:id="128"/>
    </w:p>
    <w:p>
      <w:pPr>
        <w:spacing w:after="0" w:line="240" w:lineRule="auto"/>
        <w:rPr>
          <w:szCs w:val="24"/>
        </w:rPr>
      </w:pPr>
      <w:r>
        <w:rPr>
          <w:szCs w:val="24"/>
        </w:rPr>
        <w:t>Complaints against staff that are likely to require a child protection investigation will be handled in accordance with our procedures for dealing with allegations of abuse made against staff (see appendix 3).</w:t>
      </w:r>
    </w:p>
    <w:p>
      <w:pPr>
        <w:pStyle w:val="Heading3"/>
        <w:spacing w:before="360" w:after="120" w:line="240" w:lineRule="auto"/>
        <w:rPr>
          <w:szCs w:val="24"/>
        </w:rPr>
      </w:pPr>
      <w:bookmarkStart w:id="129" w:name="_Toc172030651"/>
      <w:r>
        <w:rPr>
          <w:szCs w:val="24"/>
        </w:rPr>
        <w:t>30.2 Other complaints</w:t>
      </w:r>
      <w:bookmarkEnd w:id="129"/>
    </w:p>
    <w:p>
      <w:pPr>
        <w:spacing w:after="0" w:line="240" w:lineRule="auto"/>
        <w:rPr>
          <w:color w:val="00B050"/>
          <w:szCs w:val="24"/>
        </w:rPr>
      </w:pPr>
      <w:proofErr w:type="spellStart"/>
      <w:r>
        <w:rPr>
          <w:szCs w:val="24"/>
        </w:rPr>
        <w:t>Highfield</w:t>
      </w:r>
      <w:proofErr w:type="spellEnd"/>
      <w:r>
        <w:rPr>
          <w:szCs w:val="24"/>
        </w:rPr>
        <w:t xml:space="preserve"> handles safeguarding-related complaints of other types through our complaints policy -.</w:t>
      </w:r>
      <w:r>
        <w:t xml:space="preserve"> </w:t>
      </w:r>
      <w:hyperlink r:id="rId64" w:history="1">
        <w:r>
          <w:rPr>
            <w:rStyle w:val="Hyperlink"/>
            <w:szCs w:val="24"/>
          </w:rPr>
          <w:t>https://www.highfieldceprimaryschool.co.uk/attachments/download.asp?file=1116&amp;type=pdf</w:t>
        </w:r>
      </w:hyperlink>
      <w:r>
        <w:rPr>
          <w:color w:val="00B050"/>
          <w:szCs w:val="24"/>
        </w:rPr>
        <w:t xml:space="preserve"> </w:t>
      </w:r>
    </w:p>
    <w:p>
      <w:pPr>
        <w:spacing w:after="0" w:line="240" w:lineRule="auto"/>
        <w:rPr>
          <w:color w:val="00B050"/>
          <w:szCs w:val="24"/>
        </w:rPr>
      </w:pPr>
    </w:p>
    <w:p>
      <w:pPr>
        <w:pStyle w:val="Heading3"/>
        <w:spacing w:before="360" w:after="0"/>
      </w:pPr>
      <w:bookmarkStart w:id="130" w:name="_Toc172030652"/>
      <w:r>
        <w:t>30.3 Whistleblowing</w:t>
      </w:r>
      <w:bookmarkEnd w:id="130"/>
      <w:r>
        <w:t xml:space="preserve">  </w:t>
      </w:r>
    </w:p>
    <w:p>
      <w:pPr>
        <w:shd w:val="clear" w:color="auto" w:fill="FFFFFF"/>
        <w:spacing w:after="0" w:line="240" w:lineRule="auto"/>
      </w:pPr>
      <w:r>
        <w:t xml:space="preserve">All staff and volunteers should feel able to raise concerns about poor or unsafe practice and potential failures in the school’s or colleges safeguarding regime, and know that such concerns will be taken seriously by the senior leadership team.  </w:t>
      </w:r>
    </w:p>
    <w:p>
      <w:pPr>
        <w:shd w:val="clear" w:color="auto" w:fill="FFFFFF"/>
        <w:spacing w:after="0" w:line="240" w:lineRule="auto"/>
        <w:ind w:left="720"/>
      </w:pPr>
      <w:r>
        <w:t xml:space="preserve"> </w:t>
      </w:r>
    </w:p>
    <w:p>
      <w:pPr>
        <w:shd w:val="clear" w:color="auto" w:fill="FFFFFF"/>
        <w:spacing w:after="0" w:line="240" w:lineRule="auto"/>
        <w:rPr>
          <w:color w:val="0000FF"/>
        </w:rPr>
      </w:pPr>
      <w:r>
        <w:t xml:space="preserve">Appropriate whistleblowing procedures should be put in place for such concerns to be raised with the school’s or college’s senior leadership team in the first instance.  For our </w:t>
      </w:r>
      <w:proofErr w:type="spellStart"/>
      <w:r>
        <w:t>organisation</w:t>
      </w:r>
      <w:proofErr w:type="spellEnd"/>
      <w:r>
        <w:t xml:space="preserve"> this procedure can be found at </w:t>
      </w:r>
      <w:r>
        <w:rPr>
          <w:color w:val="00B050"/>
        </w:rPr>
        <w:t xml:space="preserve">- </w:t>
      </w:r>
      <w:hyperlink r:id="rId65" w:history="1">
        <w:r>
          <w:rPr>
            <w:rStyle w:val="Hyperlink"/>
          </w:rPr>
          <w:t>https://www.highfieldceprimaryschool.co.uk/attachments/download.asp?file=1122&amp;type=pdf</w:t>
        </w:r>
      </w:hyperlink>
      <w:r>
        <w:rPr>
          <w:color w:val="00B050"/>
        </w:rPr>
        <w:t xml:space="preserve"> </w:t>
      </w:r>
    </w:p>
    <w:p>
      <w:pPr>
        <w:spacing w:before="240" w:after="0" w:line="276" w:lineRule="auto"/>
        <w:rPr>
          <w:sz w:val="20"/>
          <w:szCs w:val="20"/>
        </w:rPr>
      </w:pPr>
    </w:p>
    <w:p>
      <w:pPr>
        <w:spacing w:before="240" w:after="240"/>
        <w:rPr>
          <w:color w:val="1155CC"/>
          <w:sz w:val="20"/>
          <w:szCs w:val="20"/>
          <w:u w:val="single"/>
        </w:rPr>
      </w:pPr>
    </w:p>
    <w:p>
      <w:pPr>
        <w:spacing w:before="240" w:after="240"/>
        <w:rPr>
          <w:sz w:val="20"/>
          <w:szCs w:val="20"/>
        </w:rPr>
      </w:pPr>
    </w:p>
    <w:p>
      <w:pPr>
        <w:spacing w:before="240" w:after="240"/>
        <w:rPr>
          <w:sz w:val="20"/>
          <w:szCs w:val="20"/>
        </w:rPr>
      </w:pPr>
    </w:p>
    <w:p>
      <w:pPr>
        <w:spacing w:before="240" w:after="240"/>
        <w:rPr>
          <w:sz w:val="20"/>
          <w:szCs w:val="20"/>
        </w:rPr>
      </w:pPr>
    </w:p>
    <w:p>
      <w:pPr>
        <w:spacing w:before="240" w:after="240"/>
        <w:rPr>
          <w:sz w:val="20"/>
          <w:szCs w:val="20"/>
        </w:rPr>
      </w:pPr>
    </w:p>
    <w:p>
      <w:pPr>
        <w:spacing w:before="240" w:after="240"/>
        <w:rPr>
          <w:sz w:val="20"/>
          <w:szCs w:val="20"/>
        </w:rPr>
      </w:pPr>
    </w:p>
    <w:p>
      <w:pPr>
        <w:spacing w:before="240" w:after="240"/>
        <w:rPr>
          <w:sz w:val="20"/>
          <w:szCs w:val="20"/>
        </w:rPr>
      </w:pPr>
    </w:p>
    <w:p>
      <w:pPr>
        <w:spacing w:before="240" w:after="240"/>
        <w:rPr>
          <w:sz w:val="20"/>
          <w:szCs w:val="20"/>
        </w:rPr>
      </w:pPr>
    </w:p>
    <w:p>
      <w:pPr>
        <w:spacing w:before="240" w:after="240"/>
        <w:rPr>
          <w:sz w:val="20"/>
          <w:szCs w:val="20"/>
        </w:rPr>
      </w:pPr>
    </w:p>
    <w:p>
      <w:pPr>
        <w:spacing w:before="240" w:after="240"/>
        <w:rPr>
          <w:sz w:val="20"/>
          <w:szCs w:val="20"/>
        </w:rPr>
      </w:pPr>
    </w:p>
    <w:p>
      <w:pPr>
        <w:spacing w:before="240" w:after="240"/>
        <w:rPr>
          <w:sz w:val="20"/>
          <w:szCs w:val="20"/>
        </w:rPr>
      </w:pPr>
    </w:p>
    <w:p>
      <w:pPr>
        <w:spacing w:before="240" w:after="240"/>
        <w:rPr>
          <w:sz w:val="20"/>
          <w:szCs w:val="20"/>
        </w:rPr>
      </w:pPr>
    </w:p>
    <w:p>
      <w:pPr>
        <w:spacing w:before="240" w:after="240"/>
        <w:rPr>
          <w:sz w:val="20"/>
          <w:szCs w:val="20"/>
        </w:rPr>
      </w:pPr>
    </w:p>
    <w:p>
      <w:pPr>
        <w:spacing w:before="240" w:after="240"/>
        <w:rPr>
          <w:sz w:val="20"/>
          <w:szCs w:val="20"/>
        </w:rPr>
      </w:pPr>
    </w:p>
    <w:p>
      <w:pPr>
        <w:pStyle w:val="Heading1"/>
        <w:rPr>
          <w:sz w:val="28"/>
          <w:szCs w:val="28"/>
        </w:rPr>
      </w:pPr>
      <w:bookmarkStart w:id="131" w:name="_heading=h.2pc78g1l2v3q" w:colFirst="0" w:colLast="0"/>
      <w:bookmarkStart w:id="132" w:name="_Toc172030653"/>
      <w:bookmarkEnd w:id="131"/>
      <w:r>
        <w:rPr>
          <w:sz w:val="32"/>
        </w:rPr>
        <w:t>Appendix 1</w:t>
      </w:r>
      <w:bookmarkStart w:id="133" w:name="_heading=h.d3rdoa4mwf4q" w:colFirst="0" w:colLast="0"/>
      <w:bookmarkEnd w:id="133"/>
      <w:r>
        <w:rPr>
          <w:sz w:val="32"/>
        </w:rPr>
        <w:t xml:space="preserve">: </w:t>
      </w:r>
      <w:r>
        <w:rPr>
          <w:sz w:val="32"/>
          <w:szCs w:val="28"/>
        </w:rPr>
        <w:t>Safeguarding Issues</w:t>
      </w:r>
      <w:bookmarkEnd w:id="132"/>
      <w:r>
        <w:rPr>
          <w:sz w:val="32"/>
          <w:szCs w:val="28"/>
        </w:rPr>
        <w:t xml:space="preserve"> </w:t>
      </w:r>
    </w:p>
    <w:p>
      <w:pPr>
        <w:pStyle w:val="Heading2"/>
        <w:rPr>
          <w:sz w:val="28"/>
          <w:szCs w:val="28"/>
        </w:rPr>
      </w:pPr>
      <w:bookmarkStart w:id="134" w:name="_Toc172030654"/>
      <w:r>
        <w:rPr>
          <w:sz w:val="28"/>
          <w:szCs w:val="28"/>
        </w:rPr>
        <w:t>Homelessness</w:t>
      </w:r>
      <w:bookmarkEnd w:id="134"/>
      <w:r>
        <w:rPr>
          <w:sz w:val="28"/>
          <w:szCs w:val="28"/>
        </w:rPr>
        <w:t xml:space="preserve"> </w:t>
      </w:r>
    </w:p>
    <w:p>
      <w:pPr>
        <w:spacing w:after="0"/>
        <w:rPr>
          <w:rFonts w:asciiTheme="minorHAnsi" w:hAnsiTheme="minorHAnsi" w:cstheme="minorHAnsi"/>
        </w:rPr>
      </w:pPr>
      <w:r>
        <w:rPr>
          <w:rFonts w:asciiTheme="minorHAnsi" w:hAnsiTheme="minorHAnsi" w:cstheme="minorHAnsi"/>
        </w:rPr>
        <w:t xml:space="preserve">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w:t>
      </w:r>
      <w:proofErr w:type="spellStart"/>
      <w:r>
        <w:rPr>
          <w:rFonts w:asciiTheme="minorHAnsi" w:hAnsiTheme="minorHAnsi" w:cstheme="minorHAnsi"/>
        </w:rPr>
        <w:t>behaviour</w:t>
      </w:r>
      <w:proofErr w:type="spellEnd"/>
      <w:r>
        <w:rPr>
          <w:rFonts w:asciiTheme="minorHAnsi" w:hAnsiTheme="minorHAnsi" w:cstheme="minorHAnsi"/>
        </w:rPr>
        <w:t xml:space="preserve">, as well as the family being asked to leave a property. </w:t>
      </w:r>
    </w:p>
    <w:p>
      <w:pPr>
        <w:spacing w:after="0"/>
        <w:rPr>
          <w:rFonts w:asciiTheme="minorHAnsi" w:hAnsiTheme="minorHAnsi" w:cstheme="minorHAnsi"/>
        </w:rPr>
      </w:pPr>
    </w:p>
    <w:p>
      <w:pPr>
        <w:spacing w:after="0"/>
        <w:rPr>
          <w:rFonts w:asciiTheme="minorHAnsi" w:hAnsiTheme="minorHAnsi" w:cstheme="minorHAnsi"/>
        </w:rPr>
      </w:pPr>
      <w:r>
        <w:rPr>
          <w:rFonts w:asciiTheme="minorHAnsi" w:hAnsiTheme="minorHAnsi" w:cstheme="minorHAnsi"/>
        </w:rPr>
        <w:t>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w:t>
      </w:r>
    </w:p>
    <w:p>
      <w:pPr>
        <w:pStyle w:val="Heading1"/>
        <w:rPr>
          <w:sz w:val="28"/>
          <w:highlight w:val="white"/>
        </w:rPr>
      </w:pPr>
      <w:bookmarkStart w:id="135" w:name="_Toc172030655"/>
      <w:r>
        <w:rPr>
          <w:sz w:val="28"/>
          <w:highlight w:val="white"/>
        </w:rPr>
        <w:t>Trigger Trio</w:t>
      </w:r>
      <w:bookmarkEnd w:id="135"/>
      <w:r>
        <w:rPr>
          <w:sz w:val="28"/>
          <w:highlight w:val="white"/>
        </w:rPr>
        <w:t xml:space="preserve"> </w:t>
      </w:r>
    </w:p>
    <w:p>
      <w:pPr>
        <w:rPr>
          <w:highlight w:val="white"/>
        </w:rPr>
      </w:pPr>
      <w:r>
        <w:t xml:space="preserve">The trigger trio refers to the co-existence of domestic abuse, substance misuse and mental health issues in parents and </w:t>
      </w:r>
      <w:proofErr w:type="spellStart"/>
      <w:r>
        <w:t>carers</w:t>
      </w:r>
      <w:proofErr w:type="spellEnd"/>
      <w:r>
        <w:t>. Risk factors that increase the likelihood of a parent having issues with the trigger trio can include factors such as; their own adverse childhood experiences, the age and experience of the parent, the availability of family support and a history of poor mental health or substance misuse.  Parents with mental illness, substance misuse and domestic abuse issues often have a poor relationship with their own parents. Social isolation and social support is often lacking for parents who have mental health difficulties in particular.</w:t>
      </w:r>
    </w:p>
    <w:p>
      <w:pPr>
        <w:pStyle w:val="Heading2"/>
        <w:rPr>
          <w:sz w:val="28"/>
        </w:rPr>
      </w:pPr>
      <w:bookmarkStart w:id="136" w:name="_heading=h.xsfvfz1o5j6x" w:colFirst="0" w:colLast="0"/>
      <w:bookmarkStart w:id="137" w:name="_Toc172030656"/>
      <w:bookmarkEnd w:id="136"/>
      <w:r>
        <w:rPr>
          <w:sz w:val="28"/>
        </w:rPr>
        <w:t>Domestic abuse</w:t>
      </w:r>
      <w:bookmarkEnd w:id="137"/>
      <w:r>
        <w:rPr>
          <w:sz w:val="28"/>
        </w:rPr>
        <w:t xml:space="preserve"> </w:t>
      </w:r>
    </w:p>
    <w:p>
      <w:pPr>
        <w:spacing w:after="0"/>
        <w:rPr>
          <w:color w:val="FF0000"/>
        </w:rPr>
      </w:pPr>
      <w:r>
        <w:t xml:space="preserve">Domestic abuse is any incident or pattern of incidents of controlling, coercive or threatening </w:t>
      </w:r>
      <w:proofErr w:type="spellStart"/>
      <w:r>
        <w:t>behaviour</w:t>
      </w:r>
      <w:proofErr w:type="spellEnd"/>
      <w:r>
        <w:t xml:space="preserve">, violence or abuse. Domestic abuse can encompass a wide range of </w:t>
      </w:r>
      <w:proofErr w:type="spellStart"/>
      <w:r>
        <w:t>behaviours</w:t>
      </w:r>
      <w:proofErr w:type="spellEnd"/>
      <w:r>
        <w:t xml:space="preserve"> and maybe a single incident or a pattern of incidents. Domestic abuse can be, but not limited to psychological, physical, sexual, financial or emotional. Children can be victims of domestic abuse; they may see hear or experience the effects of domestic abuse. All of which can have a detrimental and long-term impact on their health, well-being, development, and ability to learn.</w:t>
      </w:r>
    </w:p>
    <w:p>
      <w:pPr>
        <w:spacing w:after="0"/>
      </w:pPr>
    </w:p>
    <w:p>
      <w:pPr>
        <w:spacing w:after="0"/>
        <w:rPr>
          <w:rFonts w:asciiTheme="minorHAnsi" w:hAnsiTheme="minorHAnsi" w:cstheme="minorHAnsi"/>
        </w:rPr>
      </w:pPr>
      <w:r>
        <w:rPr>
          <w:rFonts w:asciiTheme="minorHAnsi" w:hAnsiTheme="minorHAnsi" w:cstheme="minorHAnsi"/>
        </w:rP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This can be particularly relevant, for example, in relation to the impact on children of all forms of domestic abuse, including where they see, hear or experience its effects.</w:t>
      </w:r>
    </w:p>
    <w:p>
      <w:pPr>
        <w:spacing w:after="0"/>
        <w:rPr>
          <w:rFonts w:asciiTheme="minorHAnsi" w:hAnsiTheme="minorHAnsi" w:cstheme="minorHAnsi"/>
        </w:rPr>
      </w:pPr>
    </w:p>
    <w:p>
      <w:pPr>
        <w:spacing w:after="0"/>
        <w:rPr>
          <w:rFonts w:asciiTheme="minorHAnsi" w:hAnsiTheme="minorHAnsi" w:cstheme="minorHAnsi"/>
        </w:rPr>
      </w:pPr>
      <w:r>
        <w:rPr>
          <w:rFonts w:asciiTheme="minorHAnsi" w:hAnsiTheme="minorHAnsi" w:cstheme="minorHAnsi"/>
        </w:rPr>
        <w:t>Anyone can be a victim of domestic abuse, regardless of gender, age, ethnicity, socioeconomic status, sexuality or background, and domestic abuse can take place inside or outside of the home. Children who witness domestic abuse are also victims.</w:t>
      </w:r>
    </w:p>
    <w:p>
      <w:pPr>
        <w:spacing w:after="0"/>
        <w:rPr>
          <w:rFonts w:asciiTheme="minorHAnsi" w:hAnsiTheme="minorHAnsi" w:cstheme="minorHAnsi"/>
          <w:color w:val="0000FF"/>
        </w:rPr>
      </w:pPr>
    </w:p>
    <w:p>
      <w:pPr>
        <w:spacing w:after="0"/>
        <w:rPr>
          <w:rFonts w:asciiTheme="minorHAnsi" w:hAnsiTheme="minorHAnsi" w:cstheme="minorHAnsi"/>
        </w:rPr>
      </w:pPr>
    </w:p>
    <w:p>
      <w:pPr>
        <w:spacing w:after="0"/>
        <w:rPr>
          <w:rFonts w:asciiTheme="minorHAnsi" w:hAnsiTheme="minorHAnsi" w:cstheme="minorHAnsi"/>
        </w:rPr>
      </w:pPr>
      <w:r>
        <w:rPr>
          <w:rFonts w:asciiTheme="minorHAnsi" w:hAnsiTheme="minorHAnsi" w:cstheme="minorHAnsi"/>
        </w:rPr>
        <w:t xml:space="preserve">If police are called to an incident of domestic abuse and any children in the household have experienced the incident, the police will inform the key adult in school (usually the designated safeguarding lead) before the </w:t>
      </w:r>
      <w:r>
        <w:rPr>
          <w:rFonts w:asciiTheme="minorHAnsi" w:hAnsiTheme="minorHAnsi" w:cstheme="minorHAnsi"/>
        </w:rPr>
        <w:lastRenderedPageBreak/>
        <w:t>child or children arrive at school the following day. This is the procedure where police forces are part of Operation Encompass – if your local force is not, check your local procedures and adapt if necessary.</w:t>
      </w:r>
    </w:p>
    <w:p>
      <w:pPr>
        <w:spacing w:after="0"/>
        <w:rPr>
          <w:rFonts w:asciiTheme="minorHAnsi" w:hAnsiTheme="minorHAnsi" w:cstheme="minorHAnsi"/>
        </w:rPr>
      </w:pPr>
      <w:r>
        <w:rPr>
          <w:rFonts w:asciiTheme="minorHAnsi" w:hAnsiTheme="minorHAnsi" w:cstheme="minorHAnsi"/>
        </w:rPr>
        <w:t xml:space="preserve">The DSL will provide support according to the child’s needs and update records about their circumstances. </w:t>
      </w:r>
      <w:r>
        <w:t xml:space="preserve">We will liaise with DSLs from other schools when relevant in the interests to safeguard other children who may/ may not be from a shared family or may be linked.  </w:t>
      </w:r>
    </w:p>
    <w:p>
      <w:pPr>
        <w:spacing w:after="0"/>
        <w:rPr>
          <w:color w:val="FF0000"/>
        </w:rPr>
      </w:pPr>
    </w:p>
    <w:p>
      <w:pPr>
        <w:spacing w:after="0"/>
      </w:pPr>
      <w:r>
        <w:rPr>
          <w:b/>
        </w:rPr>
        <w:t xml:space="preserve">Controlling </w:t>
      </w:r>
      <w:proofErr w:type="spellStart"/>
      <w:r>
        <w:rPr>
          <w:b/>
        </w:rPr>
        <w:t>behaviour</w:t>
      </w:r>
      <w:proofErr w:type="spellEnd"/>
      <w:r>
        <w:t xml:space="preserve">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proofErr w:type="spellStart"/>
      <w:r>
        <w:t>behaviour</w:t>
      </w:r>
      <w:proofErr w:type="spellEnd"/>
      <w:r>
        <w:t>.</w:t>
      </w:r>
    </w:p>
    <w:p>
      <w:pPr>
        <w:spacing w:after="0"/>
      </w:pPr>
    </w:p>
    <w:p>
      <w:pPr>
        <w:spacing w:after="0"/>
      </w:pPr>
      <w:r>
        <w:rPr>
          <w:b/>
        </w:rPr>
        <w:t xml:space="preserve">Coercive </w:t>
      </w:r>
      <w:proofErr w:type="spellStart"/>
      <w:r>
        <w:rPr>
          <w:b/>
        </w:rPr>
        <w:t>behaviour</w:t>
      </w:r>
      <w:proofErr w:type="spellEnd"/>
      <w:r>
        <w:t xml:space="preserve"> is an act or a pattern of acts of assault, threats, humiliation and intimidation or other abuse that is used to harm, punish, or frighten their victim.</w:t>
      </w:r>
    </w:p>
    <w:p>
      <w:pPr>
        <w:spacing w:after="80"/>
        <w:rPr>
          <w:color w:val="FF0000"/>
        </w:rPr>
      </w:pPr>
    </w:p>
    <w:p>
      <w:pPr>
        <w:spacing w:after="0"/>
        <w:rPr>
          <w:rFonts w:asciiTheme="minorHAnsi" w:hAnsiTheme="minorHAnsi" w:cstheme="minorHAnsi"/>
        </w:rPr>
      </w:pPr>
      <w:r>
        <w:t xml:space="preserve">Children witnessing domestic abuse is </w:t>
      </w:r>
      <w:proofErr w:type="spellStart"/>
      <w:r>
        <w:t>recognised</w:t>
      </w:r>
      <w:proofErr w:type="spellEnd"/>
      <w:r>
        <w:t xml:space="preserve"> as ‘significant harm’ in law.  </w:t>
      </w:r>
      <w:r>
        <w:rPr>
          <w:rFonts w:asciiTheme="minorHAnsi" w:hAnsiTheme="minorHAnsi" w:cstheme="minorHAnsi"/>
        </w:rPr>
        <w:t xml:space="preserve">Children can witness and be adversely affected by domestic abuse and/or violence at home where it occurs between family members. In some cases, a child may blame themselves for the abuse or may have had to leave the family home as a result.  </w:t>
      </w:r>
      <w:r>
        <w:t xml:space="preserve">These children may become aggressive; display anti-social </w:t>
      </w:r>
      <w:proofErr w:type="spellStart"/>
      <w:r>
        <w:t>behaviours</w:t>
      </w:r>
      <w:proofErr w:type="spellEnd"/>
      <w:r>
        <w:t>; suffer from depression or anxiety; or fail to reach their educational potential. Indicators that a child is living within a relationship with domestic abuse include:</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870"/>
        <w:gridCol w:w="4872"/>
      </w:tblGrid>
      <w:tr>
        <w:tc>
          <w:tcPr>
            <w:tcW w:w="4984" w:type="dxa"/>
          </w:tcPr>
          <w:p>
            <w:pPr>
              <w:pStyle w:val="ListParagraph"/>
              <w:numPr>
                <w:ilvl w:val="0"/>
                <w:numId w:val="74"/>
              </w:numPr>
            </w:pPr>
            <w:r>
              <w:t xml:space="preserve">withdrawn </w:t>
            </w:r>
            <w:r>
              <w:tab/>
            </w:r>
            <w:r>
              <w:tab/>
            </w:r>
          </w:p>
          <w:p>
            <w:pPr>
              <w:pStyle w:val="ListParagraph"/>
              <w:numPr>
                <w:ilvl w:val="0"/>
                <w:numId w:val="74"/>
              </w:numPr>
            </w:pPr>
            <w:r>
              <w:t xml:space="preserve">anxious </w:t>
            </w:r>
          </w:p>
          <w:p>
            <w:pPr>
              <w:pStyle w:val="ListParagraph"/>
              <w:numPr>
                <w:ilvl w:val="0"/>
                <w:numId w:val="74"/>
              </w:numPr>
            </w:pPr>
            <w:r>
              <w:t>clingy</w:t>
            </w:r>
          </w:p>
          <w:p>
            <w:pPr>
              <w:pStyle w:val="ListParagraph"/>
              <w:numPr>
                <w:ilvl w:val="0"/>
                <w:numId w:val="74"/>
              </w:numPr>
            </w:pPr>
            <w:r>
              <w:t>suddenly behaves differently</w:t>
            </w:r>
          </w:p>
          <w:p>
            <w:pPr>
              <w:pStyle w:val="ListParagraph"/>
              <w:numPr>
                <w:ilvl w:val="0"/>
                <w:numId w:val="74"/>
              </w:numPr>
            </w:pPr>
            <w:r>
              <w:t>depressed</w:t>
            </w:r>
          </w:p>
          <w:p>
            <w:pPr>
              <w:pStyle w:val="ListParagraph"/>
              <w:numPr>
                <w:ilvl w:val="0"/>
                <w:numId w:val="74"/>
              </w:numPr>
            </w:pPr>
            <w:r>
              <w:t>problems sleeping</w:t>
            </w:r>
          </w:p>
          <w:p>
            <w:pPr>
              <w:pStyle w:val="ListParagraph"/>
              <w:numPr>
                <w:ilvl w:val="0"/>
                <w:numId w:val="74"/>
              </w:numPr>
            </w:pPr>
            <w:r>
              <w:t>eating disorders</w:t>
            </w:r>
          </w:p>
          <w:p>
            <w:pPr>
              <w:pStyle w:val="ListParagraph"/>
              <w:numPr>
                <w:ilvl w:val="0"/>
                <w:numId w:val="74"/>
              </w:numPr>
            </w:pPr>
            <w:r>
              <w:t>wets the bed</w:t>
            </w:r>
          </w:p>
          <w:p>
            <w:pPr>
              <w:pStyle w:val="ListParagraph"/>
              <w:numPr>
                <w:ilvl w:val="0"/>
                <w:numId w:val="74"/>
              </w:numPr>
            </w:pPr>
            <w:r>
              <w:t>soils clothes</w:t>
            </w:r>
          </w:p>
        </w:tc>
        <w:tc>
          <w:tcPr>
            <w:tcW w:w="4984" w:type="dxa"/>
          </w:tcPr>
          <w:p>
            <w:pPr>
              <w:pStyle w:val="ListParagraph"/>
              <w:numPr>
                <w:ilvl w:val="0"/>
                <w:numId w:val="74"/>
              </w:numPr>
            </w:pPr>
            <w:r>
              <w:t>aggressive</w:t>
            </w:r>
          </w:p>
          <w:p>
            <w:pPr>
              <w:pStyle w:val="ListParagraph"/>
              <w:numPr>
                <w:ilvl w:val="0"/>
                <w:numId w:val="74"/>
              </w:numPr>
            </w:pPr>
            <w:r>
              <w:t>misses school</w:t>
            </w:r>
          </w:p>
          <w:p>
            <w:pPr>
              <w:pStyle w:val="ListParagraph"/>
              <w:numPr>
                <w:ilvl w:val="0"/>
                <w:numId w:val="74"/>
              </w:numPr>
            </w:pPr>
            <w:r>
              <w:t>changes in eating habits</w:t>
            </w:r>
          </w:p>
          <w:p>
            <w:pPr>
              <w:pStyle w:val="ListParagraph"/>
              <w:numPr>
                <w:ilvl w:val="0"/>
                <w:numId w:val="74"/>
              </w:numPr>
            </w:pPr>
            <w:r>
              <w:t>obsessive behaviour</w:t>
            </w:r>
          </w:p>
          <w:p>
            <w:pPr>
              <w:pStyle w:val="ListParagraph"/>
              <w:numPr>
                <w:ilvl w:val="0"/>
                <w:numId w:val="74"/>
              </w:numPr>
            </w:pPr>
            <w:r>
              <w:t>nightmares</w:t>
            </w:r>
          </w:p>
          <w:p>
            <w:pPr>
              <w:pStyle w:val="ListParagraph"/>
              <w:numPr>
                <w:ilvl w:val="0"/>
                <w:numId w:val="74"/>
              </w:numPr>
            </w:pPr>
            <w:r>
              <w:t>takes risks</w:t>
            </w:r>
          </w:p>
          <w:p>
            <w:pPr>
              <w:pStyle w:val="ListParagraph"/>
              <w:numPr>
                <w:ilvl w:val="0"/>
                <w:numId w:val="74"/>
              </w:numPr>
            </w:pPr>
            <w:r>
              <w:t>drugs</w:t>
            </w:r>
          </w:p>
          <w:p>
            <w:pPr>
              <w:pStyle w:val="ListParagraph"/>
              <w:numPr>
                <w:ilvl w:val="0"/>
                <w:numId w:val="74"/>
              </w:numPr>
            </w:pPr>
            <w:r>
              <w:t>alcohol</w:t>
            </w:r>
          </w:p>
          <w:p>
            <w:pPr>
              <w:pStyle w:val="ListParagraph"/>
              <w:numPr>
                <w:ilvl w:val="0"/>
                <w:numId w:val="74"/>
              </w:numPr>
            </w:pPr>
            <w:r>
              <w:t>self-harm</w:t>
            </w:r>
          </w:p>
          <w:p>
            <w:pPr>
              <w:pStyle w:val="ListParagraph"/>
              <w:numPr>
                <w:ilvl w:val="0"/>
                <w:numId w:val="74"/>
              </w:numPr>
            </w:pPr>
            <w:r>
              <w:t>thoughts about suicide</w:t>
            </w:r>
          </w:p>
        </w:tc>
      </w:tr>
    </w:tbl>
    <w:p>
      <w:pPr>
        <w:spacing w:after="0"/>
      </w:pPr>
    </w:p>
    <w:p>
      <w:pPr>
        <w:spacing w:after="0"/>
      </w:pPr>
      <w:r>
        <w:t xml:space="preserve">These </w:t>
      </w:r>
      <w:proofErr w:type="spellStart"/>
      <w:r>
        <w:t>behaviours</w:t>
      </w:r>
      <w:proofErr w:type="spellEnd"/>
      <w:r>
        <w:t xml:space="preserve"> themselves do not indicate that a child is living with domestic abuse, but should be considered as indicators that this may be the case.  If staff believe that a child is living with domestic abuse, this will be reported to the designated safeguarding lead for referral to be considered to children’s social care. </w:t>
      </w:r>
    </w:p>
    <w:p>
      <w:pPr>
        <w:spacing w:after="0"/>
      </w:pPr>
    </w:p>
    <w:p>
      <w:pPr>
        <w:spacing w:after="0"/>
      </w:pPr>
      <w:r>
        <w:t xml:space="preserve">Training that is provided in our school to staff includes information about trauma informed processes and ACE’s (Adverse Childhood Experiences) so as to support the recognition and understanding of the impact domestic abuse can have on children. </w:t>
      </w:r>
    </w:p>
    <w:p>
      <w:pPr>
        <w:spacing w:after="0"/>
      </w:pPr>
    </w:p>
    <w:p>
      <w:pPr>
        <w:spacing w:after="0"/>
      </w:pPr>
      <w:r>
        <w:t xml:space="preserve">We will ensure that our PSHE curriculum has planned learning for pupils to enable them to </w:t>
      </w:r>
      <w:proofErr w:type="spellStart"/>
      <w:r>
        <w:t>recognise</w:t>
      </w:r>
      <w:proofErr w:type="spellEnd"/>
      <w:r>
        <w:t xml:space="preserve"> and build healthy relationships, and understand where they can get help from if they, or someone they know needs help or advice. This will be in line with the statutory guidance for relationships education, sex and relationships education and health education which became mandatory in September 2020.</w:t>
      </w:r>
    </w:p>
    <w:p>
      <w:pPr>
        <w:pStyle w:val="Heading2"/>
        <w:rPr>
          <w:sz w:val="28"/>
          <w:highlight w:val="white"/>
        </w:rPr>
      </w:pPr>
      <w:bookmarkStart w:id="138" w:name="_Toc172030657"/>
      <w:r>
        <w:rPr>
          <w:sz w:val="28"/>
          <w:highlight w:val="white"/>
        </w:rPr>
        <w:t>Mental health</w:t>
      </w:r>
      <w:bookmarkEnd w:id="138"/>
      <w:r>
        <w:rPr>
          <w:sz w:val="28"/>
          <w:highlight w:val="white"/>
        </w:rPr>
        <w:t xml:space="preserve"> </w:t>
      </w:r>
    </w:p>
    <w:p>
      <w:pPr>
        <w:spacing w:after="0"/>
        <w:rPr>
          <w:rFonts w:asciiTheme="minorHAnsi" w:hAnsiTheme="minorHAnsi" w:cstheme="minorHAnsi"/>
          <w:highlight w:val="white"/>
        </w:rPr>
      </w:pPr>
      <w:r>
        <w:rPr>
          <w:rFonts w:asciiTheme="minorHAnsi" w:hAnsiTheme="minorHAnsi" w:cstheme="minorHAnsi"/>
          <w:highlight w:val="white"/>
        </w:rPr>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w:t>
      </w:r>
      <w:proofErr w:type="spellStart"/>
      <w:r>
        <w:rPr>
          <w:rFonts w:asciiTheme="minorHAnsi" w:hAnsiTheme="minorHAnsi" w:cstheme="minorHAnsi"/>
          <w:highlight w:val="white"/>
        </w:rPr>
        <w:t>behaviour</w:t>
      </w:r>
      <w:proofErr w:type="spellEnd"/>
      <w:r>
        <w:rPr>
          <w:rFonts w:asciiTheme="minorHAnsi" w:hAnsiTheme="minorHAnsi" w:cstheme="minorHAnsi"/>
          <w:highlight w:val="white"/>
        </w:rPr>
        <w:t xml:space="preserve">, attendance and progress at school. More information can be found in the Mental health and </w:t>
      </w:r>
      <w:proofErr w:type="spellStart"/>
      <w:r>
        <w:rPr>
          <w:rFonts w:asciiTheme="minorHAnsi" w:hAnsiTheme="minorHAnsi" w:cstheme="minorHAnsi"/>
          <w:highlight w:val="white"/>
        </w:rPr>
        <w:t>behaviour</w:t>
      </w:r>
      <w:proofErr w:type="spellEnd"/>
      <w:r>
        <w:rPr>
          <w:rFonts w:asciiTheme="minorHAnsi" w:hAnsiTheme="minorHAnsi" w:cstheme="minorHAnsi"/>
          <w:highlight w:val="white"/>
        </w:rPr>
        <w:t xml:space="preserve"> in </w:t>
      </w:r>
      <w:proofErr w:type="gramStart"/>
      <w:r>
        <w:rPr>
          <w:rFonts w:asciiTheme="minorHAnsi" w:hAnsiTheme="minorHAnsi" w:cstheme="minorHAnsi"/>
          <w:highlight w:val="white"/>
        </w:rPr>
        <w:lastRenderedPageBreak/>
        <w:t>schools</w:t>
      </w:r>
      <w:proofErr w:type="gramEnd"/>
      <w:r>
        <w:rPr>
          <w:rFonts w:asciiTheme="minorHAnsi" w:hAnsiTheme="minorHAnsi" w:cstheme="minorHAnsi"/>
          <w:highlight w:val="white"/>
        </w:rPr>
        <w:t xml:space="preserve"> guidance, colleges may also wish to follow this guidance as best practice. Public Health England has produced a range of resources to support secondary school teachers to promote positive health, wellbeing and resilience among children. </w:t>
      </w:r>
    </w:p>
    <w:p>
      <w:pPr>
        <w:spacing w:after="0"/>
        <w:rPr>
          <w:rFonts w:asciiTheme="minorHAnsi" w:hAnsiTheme="minorHAnsi" w:cstheme="minorHAnsi"/>
        </w:rPr>
      </w:pPr>
    </w:p>
    <w:p>
      <w:pPr>
        <w:spacing w:after="0"/>
        <w:rPr>
          <w:rFonts w:asciiTheme="minorHAnsi" w:hAnsiTheme="minorHAnsi" w:cstheme="minorHAnsi"/>
        </w:rPr>
      </w:pPr>
      <w:r>
        <w:rPr>
          <w:rFonts w:asciiTheme="minorHAnsi" w:hAnsiTheme="minorHAnsi" w:cstheme="minorHAnsi"/>
        </w:rPr>
        <w:t>Assessing adult-involved nude and semi-nude sharing incidents:</w:t>
      </w:r>
    </w:p>
    <w:p>
      <w:pPr>
        <w:spacing w:after="0"/>
        <w:rPr>
          <w:rFonts w:asciiTheme="minorHAnsi" w:hAnsiTheme="minorHAnsi" w:cstheme="minorHAnsi"/>
        </w:rPr>
      </w:pPr>
      <w:r>
        <w:rPr>
          <w:rFonts w:asciiTheme="minorHAnsi" w:hAnsiTheme="minorHAnsi" w:cstheme="minorHAnsi"/>
        </w:rPr>
        <w:t xml:space="preserve">This section is based on annex A of the UK Council of Internet Safety’s advice for education settings. </w:t>
      </w:r>
    </w:p>
    <w:p>
      <w:pPr>
        <w:spacing w:after="0"/>
        <w:rPr>
          <w:rFonts w:asciiTheme="minorHAnsi" w:hAnsiTheme="minorHAnsi" w:cstheme="minorHAnsi"/>
        </w:rPr>
      </w:pPr>
      <w:r>
        <w:rPr>
          <w:rFonts w:asciiTheme="minorHAnsi" w:hAnsiTheme="minorHAnsi" w:cstheme="minorHAnsi"/>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pPr>
        <w:spacing w:after="0"/>
        <w:rPr>
          <w:rFonts w:asciiTheme="minorHAnsi" w:hAnsiTheme="minorHAnsi" w:cstheme="minorHAnsi"/>
        </w:rPr>
      </w:pPr>
      <w:r>
        <w:rPr>
          <w:rFonts w:asciiTheme="minorHAnsi" w:hAnsiTheme="minorHAnsi" w:cstheme="minorHAnsi"/>
        </w:rPr>
        <w:t>There are two types of common adult-involved incidents: sexually motivated incidents and financially motivated incidents.</w:t>
      </w:r>
    </w:p>
    <w:p>
      <w:pPr>
        <w:pStyle w:val="Heading2"/>
        <w:rPr>
          <w:sz w:val="28"/>
        </w:rPr>
      </w:pPr>
      <w:bookmarkStart w:id="139" w:name="_heading=h.8gqu7feuxtxo" w:colFirst="0" w:colLast="0"/>
      <w:bookmarkStart w:id="140" w:name="_Toc172030658"/>
      <w:bookmarkEnd w:id="139"/>
      <w:r>
        <w:rPr>
          <w:sz w:val="28"/>
        </w:rPr>
        <w:t>Substance Misuse Including Alcohol and Drugs</w:t>
      </w:r>
      <w:bookmarkEnd w:id="140"/>
    </w:p>
    <w:p>
      <w:pPr>
        <w:spacing w:after="0"/>
        <w:rPr>
          <w:rFonts w:asciiTheme="minorHAnsi" w:hAnsiTheme="minorHAnsi" w:cstheme="minorHAnsi"/>
        </w:rPr>
      </w:pPr>
      <w:r>
        <w:rPr>
          <w:rFonts w:asciiTheme="minorHAnsi" w:hAnsiTheme="minorHAnsi" w:cstheme="minorHAnsi"/>
        </w:rPr>
        <w:t xml:space="preserve">The misuse of drugs not only damages individual drug takers directly but also impacts on many others, such as their families and the wider community around them.  For the user, drugs can cause underachievement, ill-health, even death, whilst families and friends can experience extreme stress and distress.  Drug misuse is often associated with crime in the local community.  It extends across socio-economic boundaries.  </w:t>
      </w:r>
      <w:proofErr w:type="spellStart"/>
      <w:r>
        <w:rPr>
          <w:rFonts w:asciiTheme="minorHAnsi" w:hAnsiTheme="minorHAnsi" w:cstheme="minorHAnsi"/>
        </w:rPr>
        <w:t>Highfield</w:t>
      </w:r>
      <w:proofErr w:type="spellEnd"/>
      <w:r>
        <w:rPr>
          <w:rFonts w:asciiTheme="minorHAnsi" w:hAnsiTheme="minorHAnsi" w:cstheme="minorHAnsi"/>
        </w:rPr>
        <w:t xml:space="preserve"> CE Primary cannot afford to be complacent or to think our pupils are not at risk.</w:t>
      </w:r>
    </w:p>
    <w:p>
      <w:pPr>
        <w:spacing w:after="0"/>
        <w:rPr>
          <w:rFonts w:asciiTheme="minorHAnsi" w:hAnsiTheme="minorHAnsi" w:cstheme="minorHAnsi"/>
        </w:rPr>
      </w:pPr>
      <w:r>
        <w:rPr>
          <w:rFonts w:asciiTheme="minorHAnsi" w:hAnsiTheme="minorHAnsi" w:cstheme="minorHAnsi"/>
        </w:rPr>
        <w:t xml:space="preserve">In the event of a student being discovered to be in possession of using, sharing or selling an illegal substance, psychoactive substance (formerly known as legal highs) or solvent intended for use as a stimulant whilst on site, or involved in an activity </w:t>
      </w:r>
      <w:proofErr w:type="spellStart"/>
      <w:r>
        <w:rPr>
          <w:rFonts w:asciiTheme="minorHAnsi" w:hAnsiTheme="minorHAnsi" w:cstheme="minorHAnsi"/>
        </w:rPr>
        <w:t>organised</w:t>
      </w:r>
      <w:proofErr w:type="spellEnd"/>
      <w:r>
        <w:rPr>
          <w:rFonts w:asciiTheme="minorHAnsi" w:hAnsiTheme="minorHAnsi" w:cstheme="minorHAnsi"/>
        </w:rPr>
        <w:t xml:space="preserve"> by </w:t>
      </w:r>
      <w:proofErr w:type="spellStart"/>
      <w:r>
        <w:rPr>
          <w:rFonts w:asciiTheme="minorHAnsi" w:hAnsiTheme="minorHAnsi" w:cstheme="minorHAnsi"/>
        </w:rPr>
        <w:t>Highfield</w:t>
      </w:r>
      <w:proofErr w:type="spellEnd"/>
      <w:r>
        <w:rPr>
          <w:rFonts w:asciiTheme="minorHAnsi" w:hAnsiTheme="minorHAnsi" w:cstheme="minorHAnsi"/>
        </w:rPr>
        <w:t xml:space="preserve"> CE Primary, or on the way to or from school;</w:t>
      </w:r>
    </w:p>
    <w:p>
      <w:pPr>
        <w:pStyle w:val="ListParagraph"/>
        <w:numPr>
          <w:ilvl w:val="0"/>
          <w:numId w:val="68"/>
        </w:numPr>
        <w:spacing w:after="0"/>
        <w:rPr>
          <w:rFonts w:asciiTheme="minorHAnsi" w:hAnsiTheme="minorHAnsi" w:cstheme="minorHAnsi"/>
        </w:rPr>
      </w:pPr>
      <w:r>
        <w:rPr>
          <w:rFonts w:asciiTheme="minorHAnsi" w:hAnsiTheme="minorHAnsi" w:cstheme="minorHAnsi"/>
        </w:rPr>
        <w:t>The drug/solvent will be immediately confiscated.</w:t>
      </w:r>
    </w:p>
    <w:p>
      <w:pPr>
        <w:pStyle w:val="ListParagraph"/>
        <w:numPr>
          <w:ilvl w:val="0"/>
          <w:numId w:val="68"/>
        </w:numPr>
        <w:spacing w:after="0"/>
        <w:rPr>
          <w:rFonts w:asciiTheme="minorHAnsi" w:hAnsiTheme="minorHAnsi" w:cstheme="minorHAnsi"/>
        </w:rPr>
      </w:pPr>
      <w:r>
        <w:rPr>
          <w:rFonts w:asciiTheme="minorHAnsi" w:hAnsiTheme="minorHAnsi" w:cstheme="minorHAnsi"/>
        </w:rPr>
        <w:t>The student will be immediately withdrawn from associating with other students and the Designated Safeguarding Lead and Head Teacher will be informed.</w:t>
      </w:r>
    </w:p>
    <w:p>
      <w:pPr>
        <w:pStyle w:val="ListParagraph"/>
        <w:numPr>
          <w:ilvl w:val="0"/>
          <w:numId w:val="68"/>
        </w:numPr>
        <w:spacing w:after="0"/>
        <w:rPr>
          <w:rFonts w:asciiTheme="minorHAnsi" w:hAnsiTheme="minorHAnsi" w:cstheme="minorHAnsi"/>
        </w:rPr>
      </w:pPr>
      <w:r>
        <w:rPr>
          <w:rFonts w:asciiTheme="minorHAnsi" w:hAnsiTheme="minorHAnsi" w:cstheme="minorHAnsi"/>
        </w:rPr>
        <w:t>If the student is clearly suffering from the effects of the illegal substance or solvent, appropriate emergency care will be sought and parents will be contacted immediately.</w:t>
      </w:r>
    </w:p>
    <w:p>
      <w:pPr>
        <w:pStyle w:val="ListParagraph"/>
        <w:numPr>
          <w:ilvl w:val="0"/>
          <w:numId w:val="68"/>
        </w:numPr>
        <w:spacing w:after="0"/>
        <w:rPr>
          <w:rFonts w:asciiTheme="minorHAnsi" w:hAnsiTheme="minorHAnsi" w:cstheme="minorHAnsi"/>
        </w:rPr>
      </w:pPr>
      <w:r>
        <w:rPr>
          <w:rFonts w:asciiTheme="minorHAnsi" w:hAnsiTheme="minorHAnsi" w:cstheme="minorHAnsi"/>
        </w:rPr>
        <w:t xml:space="preserve">An investigation will be launched into the facts of the incident and the police may be informed that a drugs incident in under investigation. </w:t>
      </w:r>
    </w:p>
    <w:p>
      <w:pPr>
        <w:pStyle w:val="ListParagraph"/>
        <w:numPr>
          <w:ilvl w:val="0"/>
          <w:numId w:val="68"/>
        </w:numPr>
        <w:spacing w:after="0"/>
        <w:rPr>
          <w:rFonts w:asciiTheme="minorHAnsi" w:hAnsiTheme="minorHAnsi" w:cstheme="minorHAnsi"/>
        </w:rPr>
      </w:pPr>
      <w:r>
        <w:rPr>
          <w:rFonts w:asciiTheme="minorHAnsi" w:hAnsiTheme="minorHAnsi" w:cstheme="minorHAnsi"/>
        </w:rPr>
        <w:t>Whist the investigation takes place, parents will be informed that their child is excluded whilst the matter is reviewed and they will be asked to collect their child.  If the parent cannot be contacted and there is no immediate medical assistance required, the child will be expected to take their usual mode of transport home.</w:t>
      </w:r>
    </w:p>
    <w:p>
      <w:pPr>
        <w:pStyle w:val="Heading1"/>
        <w:keepNext w:val="0"/>
        <w:keepLines w:val="0"/>
        <w:spacing w:before="360" w:after="0"/>
        <w:ind w:left="40"/>
        <w:rPr>
          <w:rFonts w:asciiTheme="minorHAnsi" w:hAnsiTheme="minorHAnsi" w:cstheme="minorHAnsi"/>
          <w:sz w:val="28"/>
          <w:szCs w:val="22"/>
        </w:rPr>
      </w:pPr>
      <w:bookmarkStart w:id="141" w:name="_heading=h.yexo9yng1r6k" w:colFirst="0" w:colLast="0"/>
      <w:bookmarkStart w:id="142" w:name="_Toc172030659"/>
      <w:bookmarkEnd w:id="141"/>
      <w:proofErr w:type="spellStart"/>
      <w:r>
        <w:rPr>
          <w:rFonts w:asciiTheme="minorHAnsi" w:hAnsiTheme="minorHAnsi" w:cstheme="minorHAnsi"/>
          <w:sz w:val="28"/>
          <w:szCs w:val="22"/>
        </w:rPr>
        <w:t>Honour</w:t>
      </w:r>
      <w:proofErr w:type="spellEnd"/>
      <w:r>
        <w:rPr>
          <w:rFonts w:asciiTheme="minorHAnsi" w:hAnsiTheme="minorHAnsi" w:cstheme="minorHAnsi"/>
          <w:sz w:val="28"/>
          <w:szCs w:val="22"/>
        </w:rPr>
        <w:t xml:space="preserve"> Based Abuse</w:t>
      </w:r>
      <w:bookmarkEnd w:id="142"/>
    </w:p>
    <w:p>
      <w:pPr>
        <w:spacing w:after="0" w:line="276" w:lineRule="auto"/>
        <w:rPr>
          <w:rFonts w:asciiTheme="minorHAnsi" w:hAnsiTheme="minorHAnsi" w:cstheme="minorHAnsi"/>
        </w:rPr>
      </w:pPr>
      <w:proofErr w:type="spellStart"/>
      <w:r>
        <w:rPr>
          <w:rFonts w:asciiTheme="minorHAnsi" w:hAnsiTheme="minorHAnsi" w:cstheme="minorHAnsi"/>
        </w:rPr>
        <w:t>Honour</w:t>
      </w:r>
      <w:proofErr w:type="spellEnd"/>
      <w:r>
        <w:rPr>
          <w:rFonts w:asciiTheme="minorHAnsi" w:hAnsiTheme="minorHAnsi" w:cstheme="minorHAnsi"/>
        </w:rPr>
        <w:t xml:space="preserve"> Based Abuse (HBA) is a crime or incident, which has or may have been committed to protect or defend the </w:t>
      </w:r>
      <w:proofErr w:type="spellStart"/>
      <w:r>
        <w:rPr>
          <w:rFonts w:asciiTheme="minorHAnsi" w:hAnsiTheme="minorHAnsi" w:cstheme="minorHAnsi"/>
        </w:rPr>
        <w:t>honour</w:t>
      </w:r>
      <w:proofErr w:type="spellEnd"/>
      <w:r>
        <w:rPr>
          <w:rFonts w:asciiTheme="minorHAnsi" w:hAnsiTheme="minorHAnsi" w:cstheme="minorHAnsi"/>
        </w:rPr>
        <w:t xml:space="preserve"> of the family and/or community.  It is important to be alert to signs of distress and indications such as self-harm, absence from school and truancy, infections resulting from FGM, isolation from peers, being monitored by family, not participating in school activities, unreasonable restrictions at home or forced marriage.  Where it is suspected that a young person is at risk from HBA, concerns will be reported to the appropriate agency in order to prevent this form of abuse taking place.</w:t>
      </w:r>
    </w:p>
    <w:p>
      <w:pPr>
        <w:spacing w:after="0"/>
        <w:rPr>
          <w:rFonts w:asciiTheme="minorHAnsi" w:hAnsiTheme="minorHAnsi" w:cstheme="minorHAnsi"/>
          <w:b/>
        </w:rPr>
      </w:pPr>
      <w:r>
        <w:rPr>
          <w:rFonts w:asciiTheme="minorHAnsi" w:hAnsiTheme="minorHAnsi" w:cstheme="minorHAnsi"/>
        </w:rPr>
        <w:t xml:space="preserve">Further information on </w:t>
      </w:r>
      <w:proofErr w:type="spellStart"/>
      <w:r>
        <w:rPr>
          <w:rFonts w:asciiTheme="minorHAnsi" w:hAnsiTheme="minorHAnsi" w:cstheme="minorHAnsi"/>
        </w:rPr>
        <w:t>Honour</w:t>
      </w:r>
      <w:proofErr w:type="spellEnd"/>
      <w:r>
        <w:rPr>
          <w:rFonts w:asciiTheme="minorHAnsi" w:hAnsiTheme="minorHAnsi" w:cstheme="minorHAnsi"/>
        </w:rPr>
        <w:t xml:space="preserve"> Based Violence can be found here:</w:t>
      </w:r>
      <w:r>
        <w:rPr>
          <w:rFonts w:asciiTheme="minorHAnsi" w:hAnsiTheme="minorHAnsi" w:cstheme="minorHAnsi"/>
        </w:rPr>
        <w:br/>
      </w:r>
      <w:hyperlink r:id="rId66">
        <w:r>
          <w:rPr>
            <w:rFonts w:asciiTheme="minorHAnsi" w:hAnsiTheme="minorHAnsi" w:cstheme="minorHAnsi"/>
          </w:rPr>
          <w:t xml:space="preserve"> </w:t>
        </w:r>
      </w:hyperlink>
      <w:hyperlink r:id="rId67">
        <w:r>
          <w:rPr>
            <w:rFonts w:asciiTheme="minorHAnsi" w:hAnsiTheme="minorHAnsi" w:cstheme="minorHAnsi"/>
            <w:color w:val="1155CC"/>
            <w:u w:val="single"/>
          </w:rPr>
          <w:t>http://www.hampshiresab.org.uk/wp-content/uploads/PAN-Hampshire-HBV-Multi-Agency-Guidance.pdf</w:t>
        </w:r>
      </w:hyperlink>
    </w:p>
    <w:p>
      <w:pPr>
        <w:pStyle w:val="Heading2"/>
        <w:rPr>
          <w:sz w:val="28"/>
        </w:rPr>
      </w:pPr>
      <w:bookmarkStart w:id="143" w:name="_Toc172030660"/>
      <w:r>
        <w:rPr>
          <w:sz w:val="28"/>
        </w:rPr>
        <w:t>Faith Abuse</w:t>
      </w:r>
      <w:bookmarkEnd w:id="143"/>
    </w:p>
    <w:p>
      <w:pPr>
        <w:spacing w:after="0" w:line="276" w:lineRule="auto"/>
        <w:rPr>
          <w:rFonts w:asciiTheme="minorHAnsi" w:hAnsiTheme="minorHAnsi" w:cstheme="minorHAnsi"/>
        </w:rPr>
      </w:pPr>
      <w:r>
        <w:rPr>
          <w:rFonts w:asciiTheme="minorHAnsi" w:hAnsiTheme="minorHAnsi" w:cstheme="minorHAnsi"/>
        </w:rPr>
        <w:t xml:space="preserve">The number of known cases of child abuse linked to accusations of ‘possession’ or ‘witchcraft’ is small, but children involved can suffer damage to their physical and mental health, their capacity to learn, their ability to form relationships and to their self-esteem. Such abuse generally occurs when a </w:t>
      </w:r>
      <w:proofErr w:type="spellStart"/>
      <w:r>
        <w:rPr>
          <w:rFonts w:asciiTheme="minorHAnsi" w:hAnsiTheme="minorHAnsi" w:cstheme="minorHAnsi"/>
        </w:rPr>
        <w:t>carer</w:t>
      </w:r>
      <w:proofErr w:type="spellEnd"/>
      <w:r>
        <w:rPr>
          <w:rFonts w:asciiTheme="minorHAnsi" w:hAnsiTheme="minorHAnsi" w:cstheme="minorHAnsi"/>
        </w:rPr>
        <w:t xml:space="preserve"> views a child as being ‘different’, attributes this difference to the child being ‘possessed’ or involved in ‘witchcraft’ and </w:t>
      </w:r>
      <w:r>
        <w:rPr>
          <w:rFonts w:asciiTheme="minorHAnsi" w:hAnsiTheme="minorHAnsi" w:cstheme="minorHAnsi"/>
        </w:rPr>
        <w:lastRenderedPageBreak/>
        <w:t xml:space="preserve">attempts to exorcise him or her. A child could be viewed as ‘different’ for a variety of reasons such as, disobedience; independence; bed-wetting; nightmares; illness; or disability. There is often a weak bond of attachment between the </w:t>
      </w:r>
      <w:proofErr w:type="spellStart"/>
      <w:r>
        <w:rPr>
          <w:rFonts w:asciiTheme="minorHAnsi" w:hAnsiTheme="minorHAnsi" w:cstheme="minorHAnsi"/>
        </w:rPr>
        <w:t>carer</w:t>
      </w:r>
      <w:proofErr w:type="spellEnd"/>
      <w:r>
        <w:rPr>
          <w:rFonts w:asciiTheme="minorHAnsi" w:hAnsiTheme="minorHAnsi" w:cstheme="minorHAnsi"/>
        </w:rPr>
        <w:t xml:space="preserve"> and the child.</w:t>
      </w:r>
    </w:p>
    <w:p>
      <w:pPr>
        <w:spacing w:after="0" w:line="276" w:lineRule="auto"/>
        <w:rPr>
          <w:rFonts w:asciiTheme="minorHAnsi" w:hAnsiTheme="minorHAnsi" w:cstheme="minorHAnsi"/>
        </w:rPr>
      </w:pPr>
    </w:p>
    <w:p>
      <w:pPr>
        <w:spacing w:after="0" w:line="276" w:lineRule="auto"/>
        <w:rPr>
          <w:rFonts w:asciiTheme="minorHAnsi" w:hAnsiTheme="minorHAnsi" w:cstheme="minorHAnsi"/>
        </w:rPr>
      </w:pPr>
      <w:r>
        <w:rPr>
          <w:rFonts w:asciiTheme="minorHAnsi" w:hAnsiTheme="minorHAnsi" w:cstheme="minorHAnsi"/>
        </w:rPr>
        <w:t xml:space="preserve">There are various social reasons that make a child more vulnerable to an accusation of ‘possession’ or ‘witchcraft’. These include family stress and/or a change in the family structure. The attempt to ‘exorcise’ may involve severe beating, burning, starvation, cutting or stabbing and isolation, and usually occurs in the household where the child lives. </w:t>
      </w:r>
    </w:p>
    <w:p>
      <w:pPr>
        <w:spacing w:after="0" w:line="276" w:lineRule="auto"/>
        <w:rPr>
          <w:rFonts w:asciiTheme="minorHAnsi" w:hAnsiTheme="minorHAnsi" w:cstheme="minorHAnsi"/>
        </w:rPr>
      </w:pPr>
    </w:p>
    <w:p>
      <w:pPr>
        <w:spacing w:after="0" w:line="276" w:lineRule="auto"/>
        <w:rPr>
          <w:rFonts w:asciiTheme="minorHAnsi" w:hAnsiTheme="minorHAnsi" w:cstheme="minorHAnsi"/>
        </w:rPr>
      </w:pPr>
      <w:r>
        <w:rPr>
          <w:rFonts w:asciiTheme="minorHAnsi" w:hAnsiTheme="minorHAnsi" w:cstheme="minorHAnsi"/>
        </w:rPr>
        <w:t>If the school becomes aware of a child who is being abused in this context, the DSL will follow the normal referral route to children’s social care.</w:t>
      </w:r>
    </w:p>
    <w:p>
      <w:pPr>
        <w:pStyle w:val="Heading2"/>
        <w:spacing w:after="0"/>
        <w:rPr>
          <w:sz w:val="28"/>
        </w:rPr>
      </w:pPr>
      <w:bookmarkStart w:id="144" w:name="_Toc172030661"/>
      <w:r>
        <w:rPr>
          <w:sz w:val="28"/>
        </w:rPr>
        <w:t>Forced marriage</w:t>
      </w:r>
      <w:bookmarkEnd w:id="144"/>
    </w:p>
    <w:p>
      <w:pPr>
        <w:spacing w:after="0" w:line="276" w:lineRule="auto"/>
        <w:rPr>
          <w:rFonts w:asciiTheme="minorHAnsi" w:hAnsiTheme="minorHAnsi" w:cstheme="minorHAnsi"/>
        </w:rPr>
      </w:pPr>
      <w:r>
        <w:rPr>
          <w:rFonts w:asciiTheme="minorHAnsi" w:hAnsiTheme="minorHAnsi" w:cstheme="minorHAnsi"/>
        </w:rPr>
        <w:t>A forced marriage is a marriage in which a female (and sometimes a male) does not consent to the marriage but is coerced into it. Coercion may include physical, psychological, financial, sexual and emotional pressure.  It may also involve physical or sexual violence and abuse.</w:t>
      </w:r>
    </w:p>
    <w:p>
      <w:pPr>
        <w:spacing w:after="0" w:line="276" w:lineRule="auto"/>
        <w:rPr>
          <w:rFonts w:asciiTheme="minorHAnsi" w:hAnsiTheme="minorHAnsi" w:cstheme="minorHAnsi"/>
        </w:rPr>
      </w:pPr>
    </w:p>
    <w:p>
      <w:pPr>
        <w:spacing w:after="0" w:line="276" w:lineRule="auto"/>
        <w:rPr>
          <w:rFonts w:asciiTheme="minorHAnsi" w:hAnsiTheme="minorHAnsi" w:cstheme="minorHAnsi"/>
        </w:rPr>
      </w:pPr>
      <w:r>
        <w:rPr>
          <w:rFonts w:asciiTheme="minorHAnsi" w:hAnsiTheme="minorHAnsi" w:cstheme="minorHAnsi"/>
        </w:rPr>
        <w:t>A forced marriage is not the same as an arranged marriage. In an arranged marriage, which is common in several cultures, the families of both spouses take a leading role in arranging the marriage but the choice of whether or not to accept the arrangement remains with the prospective spouses.</w:t>
      </w:r>
    </w:p>
    <w:p>
      <w:pPr>
        <w:spacing w:after="0" w:line="276" w:lineRule="auto"/>
        <w:rPr>
          <w:rFonts w:asciiTheme="minorHAnsi" w:hAnsiTheme="minorHAnsi" w:cstheme="minorHAnsi"/>
        </w:rPr>
      </w:pPr>
    </w:p>
    <w:p>
      <w:pPr>
        <w:spacing w:after="0" w:line="276" w:lineRule="auto"/>
        <w:rPr>
          <w:rFonts w:asciiTheme="minorHAnsi" w:hAnsiTheme="minorHAnsi" w:cstheme="minorHAnsi"/>
        </w:rPr>
      </w:pPr>
      <w:r>
        <w:rPr>
          <w:rFonts w:asciiTheme="minorHAnsi" w:hAnsiTheme="minorHAnsi" w:cstheme="minorHAnsi"/>
        </w:rPr>
        <w:t>Children may be married at a very young age and well below the age of consent in England. School staff receive training and should be particularly alert to suspicions or concerns raised by a pupil about being taken abroad and not be allowed to return to England.</w:t>
      </w:r>
    </w:p>
    <w:p>
      <w:pPr>
        <w:spacing w:after="0" w:line="276" w:lineRule="auto"/>
        <w:rPr>
          <w:rFonts w:asciiTheme="minorHAnsi" w:hAnsiTheme="minorHAnsi" w:cstheme="minorHAnsi"/>
        </w:rPr>
      </w:pPr>
    </w:p>
    <w:p>
      <w:pPr>
        <w:spacing w:after="0" w:line="276" w:lineRule="auto"/>
        <w:rPr>
          <w:rFonts w:asciiTheme="minorHAnsi" w:hAnsiTheme="minorHAnsi" w:cstheme="minorHAnsi"/>
        </w:rPr>
      </w:pPr>
      <w:r>
        <w:rPr>
          <w:rFonts w:asciiTheme="minorHAnsi" w:hAnsiTheme="minorHAnsi" w:cstheme="minorHAnsi"/>
        </w:rPr>
        <w:t xml:space="preserve">Since June 2014 forcing someone to marry has become a criminal offence in England and Wales under the Anti-Social </w:t>
      </w:r>
      <w:proofErr w:type="spellStart"/>
      <w:r>
        <w:rPr>
          <w:rFonts w:asciiTheme="minorHAnsi" w:hAnsiTheme="minorHAnsi" w:cstheme="minorHAnsi"/>
        </w:rPr>
        <w:t>Behaviour</w:t>
      </w:r>
      <w:proofErr w:type="spellEnd"/>
      <w:r>
        <w:rPr>
          <w:rFonts w:asciiTheme="minorHAnsi" w:hAnsiTheme="minorHAnsi" w:cstheme="minorHAnsi"/>
        </w:rPr>
        <w:t>, Crime and Policing Act 2014</w:t>
      </w:r>
      <w:r>
        <w:rPr>
          <w:rFonts w:asciiTheme="minorHAnsi" w:hAnsiTheme="minorHAnsi" w:cstheme="minorHAnsi"/>
          <w:i/>
        </w:rPr>
        <w:t xml:space="preserve">. </w:t>
      </w:r>
      <w:r>
        <w:rPr>
          <w:rFonts w:asciiTheme="minorHAnsi" w:hAnsiTheme="minorHAnsi" w:cstheme="minorHAnsi"/>
        </w:rPr>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pPr>
        <w:spacing w:after="0" w:line="276" w:lineRule="auto"/>
        <w:rPr>
          <w:rFonts w:asciiTheme="minorHAnsi" w:hAnsiTheme="minorHAnsi" w:cstheme="minorHAnsi"/>
        </w:rPr>
      </w:pPr>
    </w:p>
    <w:p>
      <w:pPr>
        <w:spacing w:after="0" w:line="276" w:lineRule="auto"/>
        <w:rPr>
          <w:rFonts w:asciiTheme="minorHAnsi" w:hAnsiTheme="minorHAnsi" w:cstheme="minorHAnsi"/>
          <w:color w:val="FF0000"/>
        </w:rPr>
      </w:pPr>
      <w:r>
        <w:rPr>
          <w:rFonts w:asciiTheme="minorHAnsi" w:hAnsiTheme="minorHAnsi" w:cstheme="minorHAnsi"/>
        </w:rPr>
        <w:t>Further information on Forced Marriage can be found here:</w:t>
      </w:r>
      <w:r>
        <w:rPr>
          <w:rFonts w:asciiTheme="minorHAnsi" w:hAnsiTheme="minorHAnsi" w:cstheme="minorHAnsi"/>
          <w:b/>
        </w:rPr>
        <w:br/>
        <w:t xml:space="preserve"> </w:t>
      </w:r>
      <w:hyperlink r:id="rId68">
        <w:r>
          <w:rPr>
            <w:rFonts w:asciiTheme="minorHAnsi" w:hAnsiTheme="minorHAnsi" w:cstheme="minorHAnsi"/>
            <w:b/>
            <w:color w:val="1155CC"/>
            <w:u w:val="single"/>
          </w:rPr>
          <w:t>https://www.childline.org.uk/info-advice/bullying-abuse-safety/crime-law/forced-marriage/</w:t>
        </w:r>
      </w:hyperlink>
      <w:r>
        <w:rPr>
          <w:rFonts w:asciiTheme="minorHAnsi" w:hAnsiTheme="minorHAnsi" w:cstheme="minorHAnsi"/>
          <w:b/>
        </w:rPr>
        <w:t xml:space="preserve"> </w:t>
      </w:r>
      <w:bookmarkStart w:id="145" w:name="_heading=h.fqk0tgl5jq7l" w:colFirst="0" w:colLast="0"/>
      <w:bookmarkEnd w:id="145"/>
    </w:p>
    <w:p>
      <w:pPr>
        <w:pStyle w:val="Heading1"/>
        <w:rPr>
          <w:sz w:val="28"/>
          <w:szCs w:val="28"/>
        </w:rPr>
      </w:pPr>
      <w:bookmarkStart w:id="146" w:name="_Toc172030662"/>
      <w:r>
        <w:rPr>
          <w:sz w:val="28"/>
          <w:szCs w:val="28"/>
        </w:rPr>
        <w:t>Serious violence</w:t>
      </w:r>
      <w:bookmarkEnd w:id="146"/>
      <w:r>
        <w:rPr>
          <w:sz w:val="28"/>
          <w:szCs w:val="28"/>
        </w:rPr>
        <w:t xml:space="preserve"> </w:t>
      </w:r>
    </w:p>
    <w:p>
      <w:pPr>
        <w:spacing w:after="0"/>
        <w:rPr>
          <w:rFonts w:asciiTheme="minorHAnsi" w:hAnsiTheme="minorHAnsi" w:cstheme="minorHAnsi"/>
        </w:rPr>
      </w:pPr>
      <w:r>
        <w:rPr>
          <w:rFonts w:asciiTheme="minorHAnsi" w:hAnsiTheme="minorHAnsi" w:cstheme="minorHAnsi"/>
        </w:rPr>
        <w:t>Indicators which may signal that a child is at risk from, or involved with, serious violent crime may include:</w:t>
      </w:r>
    </w:p>
    <w:p>
      <w:pPr>
        <w:numPr>
          <w:ilvl w:val="0"/>
          <w:numId w:val="9"/>
        </w:numPr>
        <w:spacing w:after="0"/>
        <w:rPr>
          <w:rFonts w:asciiTheme="minorHAnsi" w:hAnsiTheme="minorHAnsi" w:cstheme="minorHAnsi"/>
        </w:rPr>
      </w:pPr>
      <w:r>
        <w:rPr>
          <w:rFonts w:asciiTheme="minorHAnsi" w:hAnsiTheme="minorHAnsi" w:cstheme="minorHAnsi"/>
        </w:rPr>
        <w:t>Increased absence from school</w:t>
      </w:r>
    </w:p>
    <w:p>
      <w:pPr>
        <w:numPr>
          <w:ilvl w:val="0"/>
          <w:numId w:val="9"/>
        </w:numPr>
        <w:spacing w:after="0"/>
        <w:rPr>
          <w:rFonts w:asciiTheme="minorHAnsi" w:hAnsiTheme="minorHAnsi" w:cstheme="minorHAnsi"/>
        </w:rPr>
      </w:pPr>
      <w:r>
        <w:rPr>
          <w:rFonts w:asciiTheme="minorHAnsi" w:hAnsiTheme="minorHAnsi" w:cstheme="minorHAnsi"/>
        </w:rPr>
        <w:t>Change in friendships or relationships with older individuals or groups</w:t>
      </w:r>
    </w:p>
    <w:p>
      <w:pPr>
        <w:numPr>
          <w:ilvl w:val="0"/>
          <w:numId w:val="9"/>
        </w:numPr>
        <w:spacing w:after="0"/>
        <w:rPr>
          <w:rFonts w:asciiTheme="minorHAnsi" w:hAnsiTheme="minorHAnsi" w:cstheme="minorHAnsi"/>
        </w:rPr>
      </w:pPr>
      <w:r>
        <w:rPr>
          <w:rFonts w:asciiTheme="minorHAnsi" w:hAnsiTheme="minorHAnsi" w:cstheme="minorHAnsi"/>
        </w:rPr>
        <w:t xml:space="preserve"> Significant decline in performance</w:t>
      </w:r>
    </w:p>
    <w:p>
      <w:pPr>
        <w:numPr>
          <w:ilvl w:val="0"/>
          <w:numId w:val="9"/>
        </w:numPr>
        <w:spacing w:after="0"/>
        <w:rPr>
          <w:rFonts w:asciiTheme="minorHAnsi" w:hAnsiTheme="minorHAnsi" w:cstheme="minorHAnsi"/>
        </w:rPr>
      </w:pPr>
      <w:r>
        <w:rPr>
          <w:rFonts w:asciiTheme="minorHAnsi" w:hAnsiTheme="minorHAnsi" w:cstheme="minorHAnsi"/>
        </w:rPr>
        <w:t xml:space="preserve"> Signs of self-harm or a significant change in wellbeing</w:t>
      </w:r>
    </w:p>
    <w:p>
      <w:pPr>
        <w:numPr>
          <w:ilvl w:val="0"/>
          <w:numId w:val="9"/>
        </w:numPr>
        <w:spacing w:after="0"/>
        <w:rPr>
          <w:rFonts w:asciiTheme="minorHAnsi" w:hAnsiTheme="minorHAnsi" w:cstheme="minorHAnsi"/>
        </w:rPr>
      </w:pPr>
      <w:r>
        <w:rPr>
          <w:rFonts w:asciiTheme="minorHAnsi" w:hAnsiTheme="minorHAnsi" w:cstheme="minorHAnsi"/>
        </w:rPr>
        <w:t xml:space="preserve"> Signs of assault or unexplained injuries</w:t>
      </w:r>
    </w:p>
    <w:p>
      <w:pPr>
        <w:numPr>
          <w:ilvl w:val="0"/>
          <w:numId w:val="9"/>
        </w:numPr>
        <w:spacing w:after="0"/>
        <w:rPr>
          <w:rFonts w:asciiTheme="minorHAnsi" w:hAnsiTheme="minorHAnsi" w:cstheme="minorHAnsi"/>
        </w:rPr>
      </w:pPr>
      <w:r>
        <w:rPr>
          <w:rFonts w:asciiTheme="minorHAnsi" w:hAnsiTheme="minorHAnsi" w:cstheme="minorHAnsi"/>
        </w:rPr>
        <w:t xml:space="preserve"> Unexplained gifts or new possessions (this could indicate that the child has been approached by, or is involved with, individuals associated with criminal networks or gangs and may be at risk of criminal exploitation (see above)) </w:t>
      </w:r>
    </w:p>
    <w:p>
      <w:pPr>
        <w:spacing w:after="0"/>
        <w:rPr>
          <w:rFonts w:asciiTheme="minorHAnsi" w:hAnsiTheme="minorHAnsi" w:cstheme="minorHAnsi"/>
        </w:rPr>
      </w:pPr>
      <w:r>
        <w:rPr>
          <w:rFonts w:asciiTheme="minorHAnsi" w:hAnsiTheme="minorHAnsi" w:cstheme="minorHAnsi"/>
        </w:rPr>
        <w:t>Risk factors which increase the likelihood of involvement in serious violence include:</w:t>
      </w:r>
    </w:p>
    <w:p>
      <w:pPr>
        <w:numPr>
          <w:ilvl w:val="0"/>
          <w:numId w:val="20"/>
        </w:numPr>
        <w:spacing w:after="0"/>
        <w:rPr>
          <w:rFonts w:asciiTheme="minorHAnsi" w:hAnsiTheme="minorHAnsi" w:cstheme="minorHAnsi"/>
        </w:rPr>
      </w:pPr>
      <w:r>
        <w:rPr>
          <w:rFonts w:asciiTheme="minorHAnsi" w:hAnsiTheme="minorHAnsi" w:cstheme="minorHAnsi"/>
        </w:rPr>
        <w:t>Being male</w:t>
      </w:r>
    </w:p>
    <w:p>
      <w:pPr>
        <w:numPr>
          <w:ilvl w:val="0"/>
          <w:numId w:val="20"/>
        </w:numPr>
        <w:spacing w:after="0"/>
        <w:rPr>
          <w:rFonts w:asciiTheme="minorHAnsi" w:hAnsiTheme="minorHAnsi" w:cstheme="minorHAnsi"/>
        </w:rPr>
      </w:pPr>
      <w:r>
        <w:rPr>
          <w:rFonts w:asciiTheme="minorHAnsi" w:hAnsiTheme="minorHAnsi" w:cstheme="minorHAnsi"/>
        </w:rPr>
        <w:t>Having been frequently absent or permanently excluded from school</w:t>
      </w:r>
    </w:p>
    <w:p>
      <w:pPr>
        <w:numPr>
          <w:ilvl w:val="0"/>
          <w:numId w:val="20"/>
        </w:numPr>
        <w:spacing w:after="0"/>
        <w:rPr>
          <w:rFonts w:asciiTheme="minorHAnsi" w:hAnsiTheme="minorHAnsi" w:cstheme="minorHAnsi"/>
        </w:rPr>
      </w:pPr>
      <w:r>
        <w:rPr>
          <w:rFonts w:asciiTheme="minorHAnsi" w:hAnsiTheme="minorHAnsi" w:cstheme="minorHAnsi"/>
        </w:rPr>
        <w:lastRenderedPageBreak/>
        <w:t xml:space="preserve">Having experienced child maltreatment </w:t>
      </w:r>
    </w:p>
    <w:p>
      <w:pPr>
        <w:numPr>
          <w:ilvl w:val="0"/>
          <w:numId w:val="20"/>
        </w:numPr>
        <w:spacing w:after="0"/>
        <w:rPr>
          <w:rFonts w:asciiTheme="minorHAnsi" w:hAnsiTheme="minorHAnsi" w:cstheme="minorHAnsi"/>
        </w:rPr>
      </w:pPr>
      <w:r>
        <w:rPr>
          <w:rFonts w:asciiTheme="minorHAnsi" w:hAnsiTheme="minorHAnsi" w:cstheme="minorHAnsi"/>
        </w:rPr>
        <w:t>Having been involved in offending, such as theft or robbery</w:t>
      </w:r>
    </w:p>
    <w:p>
      <w:pPr>
        <w:spacing w:after="0"/>
        <w:rPr>
          <w:rFonts w:asciiTheme="minorHAnsi" w:hAnsiTheme="minorHAnsi" w:cstheme="minorHAnsi"/>
        </w:rPr>
      </w:pPr>
      <w:r>
        <w:rPr>
          <w:rFonts w:asciiTheme="minorHAnsi" w:hAnsiTheme="minorHAnsi" w:cstheme="minorHAnsi"/>
        </w:rPr>
        <w:t>Staff will be aware of these indicators and risk factors. If a member of staff has a concern about a pupil being involved in, or at risk of, serious violence, they will report this to the DSL.</w:t>
      </w:r>
    </w:p>
    <w:p>
      <w:pPr>
        <w:pStyle w:val="Heading1"/>
        <w:rPr>
          <w:sz w:val="28"/>
          <w:lang w:val="en-GB"/>
        </w:rPr>
      </w:pPr>
      <w:bookmarkStart w:id="147" w:name="_Toc172030663"/>
      <w:r>
        <w:rPr>
          <w:sz w:val="28"/>
          <w:lang w:val="en-GB"/>
        </w:rPr>
        <w:t>Sexual violence and sexual harassment between children in schools</w:t>
      </w:r>
      <w:bookmarkEnd w:id="147"/>
    </w:p>
    <w:p>
      <w:pPr>
        <w:pStyle w:val="1bodycopy10pt"/>
        <w:rPr>
          <w:rFonts w:asciiTheme="minorHAnsi" w:hAnsiTheme="minorHAnsi" w:cstheme="minorHAnsi"/>
          <w:sz w:val="22"/>
          <w:szCs w:val="22"/>
          <w:lang w:val="en-GB"/>
        </w:rPr>
      </w:pPr>
      <w:r>
        <w:rPr>
          <w:rFonts w:asciiTheme="minorHAnsi" w:hAnsiTheme="minorHAnsi" w:cstheme="minorHAnsi"/>
          <w:sz w:val="22"/>
          <w:szCs w:val="22"/>
          <w:lang w:val="en-GB"/>
        </w:rPr>
        <w:t>Sexual violence and sexual harassment can occur:</w:t>
      </w:r>
    </w:p>
    <w:p>
      <w:pPr>
        <w:pStyle w:val="4Bulletedcopyblue"/>
        <w:numPr>
          <w:ilvl w:val="0"/>
          <w:numId w:val="69"/>
        </w:numPr>
        <w:ind w:left="340"/>
        <w:rPr>
          <w:rFonts w:asciiTheme="minorHAnsi" w:hAnsiTheme="minorHAnsi" w:cstheme="minorHAnsi"/>
          <w:sz w:val="22"/>
          <w:szCs w:val="22"/>
          <w:lang w:val="en-GB"/>
        </w:rPr>
      </w:pPr>
      <w:r>
        <w:rPr>
          <w:rFonts w:asciiTheme="minorHAnsi" w:hAnsiTheme="minorHAnsi" w:cstheme="minorHAnsi"/>
          <w:sz w:val="22"/>
          <w:szCs w:val="22"/>
          <w:lang w:val="en-GB"/>
        </w:rPr>
        <w:t>Between 2 children of any age and sex</w:t>
      </w:r>
    </w:p>
    <w:p>
      <w:pPr>
        <w:pStyle w:val="4Bulletedcopyblue"/>
        <w:numPr>
          <w:ilvl w:val="0"/>
          <w:numId w:val="69"/>
        </w:numPr>
        <w:ind w:left="340"/>
        <w:rPr>
          <w:rFonts w:asciiTheme="minorHAnsi" w:hAnsiTheme="minorHAnsi" w:cstheme="minorHAnsi"/>
          <w:sz w:val="22"/>
          <w:szCs w:val="22"/>
          <w:lang w:val="en-GB"/>
        </w:rPr>
      </w:pPr>
      <w:r>
        <w:rPr>
          <w:rFonts w:asciiTheme="minorHAnsi" w:hAnsiTheme="minorHAnsi" w:cstheme="minorHAnsi"/>
          <w:sz w:val="22"/>
          <w:szCs w:val="22"/>
          <w:lang w:val="en-GB"/>
        </w:rPr>
        <w:t xml:space="preserve">Through a group of children sexually assaulting or sexually harassing a single child or group of children </w:t>
      </w:r>
    </w:p>
    <w:p>
      <w:pPr>
        <w:pStyle w:val="4Bulletedcopyblue"/>
        <w:numPr>
          <w:ilvl w:val="0"/>
          <w:numId w:val="69"/>
        </w:numPr>
        <w:ind w:left="340"/>
        <w:rPr>
          <w:rFonts w:asciiTheme="minorHAnsi" w:hAnsiTheme="minorHAnsi" w:cstheme="minorHAnsi"/>
          <w:sz w:val="22"/>
          <w:szCs w:val="22"/>
          <w:lang w:val="en-GB"/>
        </w:rPr>
      </w:pPr>
      <w:r>
        <w:rPr>
          <w:rFonts w:asciiTheme="minorHAnsi" w:hAnsiTheme="minorHAnsi" w:cstheme="minorHAnsi"/>
          <w:sz w:val="22"/>
          <w:szCs w:val="22"/>
          <w:lang w:val="en-GB"/>
        </w:rPr>
        <w:t xml:space="preserve">Online and face to face (both physically and verbally) </w:t>
      </w:r>
    </w:p>
    <w:p>
      <w:pPr>
        <w:pStyle w:val="1bodycopy10pt"/>
        <w:rPr>
          <w:rFonts w:asciiTheme="minorHAnsi" w:hAnsiTheme="minorHAnsi" w:cstheme="minorHAnsi"/>
          <w:sz w:val="22"/>
          <w:szCs w:val="22"/>
          <w:lang w:val="en-GB"/>
        </w:rPr>
      </w:pPr>
      <w:r>
        <w:rPr>
          <w:rFonts w:asciiTheme="minorHAnsi" w:hAnsiTheme="minorHAnsi" w:cstheme="minorHAnsi"/>
          <w:sz w:val="22"/>
          <w:szCs w:val="22"/>
          <w:lang w:val="en-GB"/>
        </w:rPr>
        <w:t>Sexual violence and sexual harassment exist on a continuum and may overlap.</w:t>
      </w:r>
    </w:p>
    <w:p>
      <w:pPr>
        <w:pStyle w:val="1bodycopy10pt"/>
        <w:rPr>
          <w:rFonts w:asciiTheme="minorHAnsi" w:hAnsiTheme="minorHAnsi" w:cstheme="minorHAnsi"/>
          <w:sz w:val="22"/>
          <w:szCs w:val="22"/>
          <w:lang w:val="en-GB"/>
        </w:rPr>
      </w:pPr>
      <w:r>
        <w:rPr>
          <w:rFonts w:asciiTheme="minorHAnsi" w:hAnsiTheme="minorHAnsi" w:cstheme="minorHAnsi"/>
          <w:sz w:val="22"/>
          <w:szCs w:val="22"/>
          <w:lang w:val="en-GB"/>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pPr>
        <w:pStyle w:val="1bodycopy10pt"/>
        <w:rPr>
          <w:rFonts w:asciiTheme="minorHAnsi" w:hAnsiTheme="minorHAnsi" w:cstheme="minorHAnsi"/>
          <w:sz w:val="22"/>
          <w:szCs w:val="22"/>
          <w:lang w:val="en-GB"/>
        </w:rPr>
      </w:pPr>
      <w:r>
        <w:rPr>
          <w:rFonts w:asciiTheme="minorHAnsi" w:hAnsiTheme="minorHAnsi" w:cstheme="minorHAnsi"/>
          <w:sz w:val="22"/>
          <w:szCs w:val="22"/>
          <w:lang w:val="en-GB"/>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pPr>
        <w:pStyle w:val="1bodycopy10pt"/>
        <w:rPr>
          <w:rFonts w:asciiTheme="minorHAnsi" w:hAnsiTheme="minorHAnsi" w:cstheme="minorHAnsi"/>
          <w:sz w:val="22"/>
          <w:szCs w:val="22"/>
          <w:lang w:val="en-GB"/>
        </w:rPr>
      </w:pPr>
      <w:r>
        <w:rPr>
          <w:rFonts w:asciiTheme="minorHAnsi" w:hAnsiTheme="minorHAnsi" w:cstheme="minorHAnsi"/>
          <w:sz w:val="22"/>
          <w:szCs w:val="22"/>
          <w:lang w:val="en-GB"/>
        </w:rPr>
        <w:t>When supporting victims, staff will:</w:t>
      </w:r>
    </w:p>
    <w:p>
      <w:pPr>
        <w:pStyle w:val="4Bulletedcopyblue"/>
        <w:numPr>
          <w:ilvl w:val="0"/>
          <w:numId w:val="69"/>
        </w:numPr>
        <w:rPr>
          <w:rFonts w:asciiTheme="minorHAnsi" w:hAnsiTheme="minorHAnsi" w:cstheme="minorHAnsi"/>
          <w:sz w:val="22"/>
          <w:szCs w:val="22"/>
          <w:lang w:val="en-GB"/>
        </w:rPr>
      </w:pPr>
      <w:r>
        <w:rPr>
          <w:rFonts w:asciiTheme="minorHAnsi" w:hAnsiTheme="minorHAnsi" w:cstheme="minorHAnsi"/>
          <w:sz w:val="22"/>
          <w:szCs w:val="22"/>
          <w:lang w:val="en-GB"/>
        </w:rPr>
        <w:t xml:space="preserve">Reassure victims that the law on child-on-child abuse is there to protect them, not criminalise them </w:t>
      </w:r>
    </w:p>
    <w:p>
      <w:pPr>
        <w:pStyle w:val="4Bulletedcopyblue"/>
        <w:numPr>
          <w:ilvl w:val="0"/>
          <w:numId w:val="69"/>
        </w:numPr>
        <w:rPr>
          <w:rFonts w:asciiTheme="minorHAnsi" w:hAnsiTheme="minorHAnsi" w:cstheme="minorHAnsi"/>
          <w:sz w:val="22"/>
          <w:szCs w:val="22"/>
          <w:lang w:val="en-GB"/>
        </w:rPr>
      </w:pPr>
      <w:r>
        <w:rPr>
          <w:rFonts w:asciiTheme="minorHAnsi" w:hAnsiTheme="minorHAnsi" w:cstheme="minorHAnsi"/>
          <w:sz w:val="22"/>
          <w:szCs w:val="22"/>
          <w:lang w:val="en-GB"/>
        </w:rPr>
        <w:t xml:space="preserve">Regularly review decisions and actions, and update policies with lessons learnt </w:t>
      </w:r>
    </w:p>
    <w:p>
      <w:pPr>
        <w:pStyle w:val="4Bulletedcopyblue"/>
        <w:numPr>
          <w:ilvl w:val="0"/>
          <w:numId w:val="69"/>
        </w:numPr>
        <w:rPr>
          <w:rFonts w:asciiTheme="minorHAnsi" w:hAnsiTheme="minorHAnsi" w:cstheme="minorHAnsi"/>
          <w:sz w:val="22"/>
          <w:szCs w:val="22"/>
          <w:lang w:val="en-GB"/>
        </w:rPr>
      </w:pPr>
      <w:r>
        <w:rPr>
          <w:rFonts w:asciiTheme="minorHAnsi" w:hAnsiTheme="minorHAnsi" w:cstheme="minorHAnsi"/>
          <w:sz w:val="22"/>
          <w:szCs w:val="22"/>
          <w:lang w:val="en-GB"/>
        </w:rPr>
        <w:t xml:space="preserve">Look out for potential patterns of concerning, problematic or inappropriate behaviour, and decide on a course of action where we identify any patterns </w:t>
      </w:r>
    </w:p>
    <w:p>
      <w:pPr>
        <w:pStyle w:val="4Bulletedcopyblue"/>
        <w:numPr>
          <w:ilvl w:val="0"/>
          <w:numId w:val="69"/>
        </w:numPr>
        <w:rPr>
          <w:rFonts w:asciiTheme="minorHAnsi" w:hAnsiTheme="minorHAnsi" w:cstheme="minorHAnsi"/>
          <w:sz w:val="22"/>
          <w:szCs w:val="22"/>
          <w:lang w:val="en-GB"/>
        </w:rPr>
      </w:pPr>
      <w:r>
        <w:rPr>
          <w:rFonts w:asciiTheme="minorHAnsi" w:hAnsiTheme="minorHAnsi" w:cstheme="minorHAnsi"/>
          <w:sz w:val="22"/>
          <w:szCs w:val="22"/>
          <w:lang w:val="en-GB"/>
        </w:rPr>
        <w:t xml:space="preserve">Consider if there are wider cultural issues within the school that enabled inappropriate behaviour to occur and whether revising policies and/or providing extra staff training could minimise the risk of it happening again </w:t>
      </w:r>
    </w:p>
    <w:p>
      <w:pPr>
        <w:pStyle w:val="4Bulletedcopyblue"/>
        <w:numPr>
          <w:ilvl w:val="0"/>
          <w:numId w:val="69"/>
        </w:numPr>
        <w:rPr>
          <w:rFonts w:asciiTheme="minorHAnsi" w:hAnsiTheme="minorHAnsi" w:cstheme="minorHAnsi"/>
          <w:sz w:val="22"/>
          <w:szCs w:val="22"/>
          <w:lang w:val="en-GB"/>
        </w:rPr>
      </w:pPr>
      <w:r>
        <w:rPr>
          <w:rFonts w:asciiTheme="minorHAnsi" w:hAnsiTheme="minorHAnsi" w:cstheme="minorHAnsi"/>
          <w:sz w:val="22"/>
          <w:szCs w:val="22"/>
          <w:lang w:val="en-GB"/>
        </w:rPr>
        <w:t xml:space="preserve">Remain alert to the possible challenges of detecting signs that a child has experienced sexual violence, and show sensitivity to their needs </w:t>
      </w:r>
    </w:p>
    <w:p>
      <w:pPr>
        <w:pStyle w:val="1bodycopy10pt"/>
        <w:rPr>
          <w:rFonts w:asciiTheme="minorHAnsi" w:hAnsiTheme="minorHAnsi" w:cstheme="minorHAnsi"/>
          <w:sz w:val="22"/>
          <w:szCs w:val="22"/>
          <w:lang w:val="en-GB"/>
        </w:rPr>
      </w:pPr>
      <w:r>
        <w:rPr>
          <w:rFonts w:asciiTheme="minorHAnsi" w:hAnsiTheme="minorHAnsi" w:cstheme="minorHAnsi"/>
          <w:sz w:val="22"/>
          <w:szCs w:val="22"/>
          <w:lang w:val="en-GB"/>
        </w:rPr>
        <w:t xml:space="preserve">Some groups are potentially more at risk. Evidence shows that girls, children with SEN and/or disabilities, and lesbian, gay, bisexual and transgender (LGBT) children are at greater risk. </w:t>
      </w:r>
    </w:p>
    <w:p>
      <w:pPr>
        <w:pStyle w:val="1bodycopy10pt"/>
        <w:rPr>
          <w:rFonts w:asciiTheme="minorHAnsi" w:hAnsiTheme="minorHAnsi" w:cstheme="minorHAnsi"/>
          <w:sz w:val="22"/>
          <w:szCs w:val="22"/>
          <w:lang w:val="en-GB"/>
        </w:rPr>
      </w:pPr>
      <w:r>
        <w:rPr>
          <w:rFonts w:asciiTheme="minorHAnsi" w:hAnsiTheme="minorHAnsi" w:cstheme="minorHAnsi"/>
          <w:sz w:val="22"/>
          <w:szCs w:val="22"/>
          <w:lang w:val="en-GB"/>
        </w:rPr>
        <w:t xml:space="preserve">Staff should be aware of the importance of: </w:t>
      </w:r>
    </w:p>
    <w:p>
      <w:pPr>
        <w:pStyle w:val="4Bulletedcopyblue"/>
        <w:numPr>
          <w:ilvl w:val="0"/>
          <w:numId w:val="98"/>
        </w:numPr>
        <w:rPr>
          <w:rFonts w:asciiTheme="minorHAnsi" w:hAnsiTheme="minorHAnsi" w:cstheme="minorHAnsi"/>
          <w:sz w:val="22"/>
          <w:szCs w:val="22"/>
          <w:lang w:val="en-GB"/>
        </w:rPr>
      </w:pPr>
      <w:r>
        <w:rPr>
          <w:rFonts w:asciiTheme="minorHAnsi" w:hAnsiTheme="minorHAnsi" w:cstheme="minorHAnsi"/>
          <w:sz w:val="22"/>
          <w:szCs w:val="22"/>
          <w:lang w:val="en-GB"/>
        </w:rPr>
        <w:t>Challenging inappropriate behaviours</w:t>
      </w:r>
    </w:p>
    <w:p>
      <w:pPr>
        <w:pStyle w:val="4Bulletedcopyblue"/>
        <w:numPr>
          <w:ilvl w:val="0"/>
          <w:numId w:val="98"/>
        </w:numPr>
        <w:rPr>
          <w:rFonts w:asciiTheme="minorHAnsi" w:hAnsiTheme="minorHAnsi" w:cstheme="minorHAnsi"/>
          <w:sz w:val="22"/>
          <w:szCs w:val="22"/>
          <w:lang w:val="en-GB"/>
        </w:rPr>
      </w:pPr>
      <w:r>
        <w:rPr>
          <w:rFonts w:asciiTheme="minorHAnsi" w:hAnsiTheme="minorHAnsi" w:cstheme="minorHAnsi"/>
          <w:sz w:val="22"/>
          <w:szCs w:val="22"/>
          <w:lang w:val="en-GB"/>
        </w:rPr>
        <w:t>Making clear that sexual violence and sexual harassment is not acceptable, will never be tolerated and is not an inevitable part of growing up</w:t>
      </w:r>
    </w:p>
    <w:p>
      <w:pPr>
        <w:pStyle w:val="4Bulletedcopyblue"/>
        <w:numPr>
          <w:ilvl w:val="0"/>
          <w:numId w:val="98"/>
        </w:numPr>
        <w:rPr>
          <w:rFonts w:asciiTheme="minorHAnsi" w:hAnsiTheme="minorHAnsi" w:cstheme="minorHAnsi"/>
          <w:sz w:val="22"/>
          <w:szCs w:val="22"/>
          <w:lang w:val="en-GB"/>
        </w:rPr>
      </w:pPr>
      <w:r>
        <w:rPr>
          <w:rFonts w:asciiTheme="minorHAnsi" w:hAnsiTheme="minorHAnsi" w:cstheme="minorHAnsi"/>
          <w:sz w:val="22"/>
          <w:szCs w:val="22"/>
          <w:lang w:val="en-GB"/>
        </w:rPr>
        <w:t>Challenging physical behaviours (potentially criminal in nature), such as grabbing bottoms, breasts and genitalia, pulling down trousers, flicking bras and lifting up skirts. Dismissing or tolerating such behaviours risks normalising them</w:t>
      </w:r>
    </w:p>
    <w:p>
      <w:pPr>
        <w:pStyle w:val="1bodycopy10pt"/>
        <w:rPr>
          <w:rFonts w:asciiTheme="minorHAnsi" w:hAnsiTheme="minorHAnsi" w:cstheme="minorHAnsi"/>
          <w:sz w:val="22"/>
          <w:szCs w:val="22"/>
          <w:lang w:val="en-GB"/>
        </w:rPr>
      </w:pPr>
      <w:r>
        <w:rPr>
          <w:rFonts w:asciiTheme="minorHAnsi" w:hAnsiTheme="minorHAnsi" w:cstheme="minorHAnsi"/>
          <w:sz w:val="22"/>
          <w:szCs w:val="22"/>
          <w:lang w:val="en-GB"/>
        </w:rPr>
        <w:t xml:space="preserve">If staff have any concerns about sexual violence or sexual harassment, or a child makes a report to them, they will follow the procedures set out in Part 3 of this policy. </w:t>
      </w:r>
    </w:p>
    <w:p>
      <w:pPr>
        <w:pStyle w:val="Heading1"/>
        <w:rPr>
          <w:sz w:val="28"/>
        </w:rPr>
      </w:pPr>
      <w:bookmarkStart w:id="148" w:name="_Toc172030664"/>
      <w:r>
        <w:rPr>
          <w:sz w:val="28"/>
        </w:rPr>
        <w:lastRenderedPageBreak/>
        <w:t>Financially motivated incidents</w:t>
      </w:r>
      <w:bookmarkEnd w:id="148"/>
    </w:p>
    <w:p>
      <w:pPr>
        <w:spacing w:after="0"/>
        <w:rPr>
          <w:rFonts w:asciiTheme="minorHAnsi" w:hAnsiTheme="minorHAnsi" w:cstheme="minorHAnsi"/>
        </w:rPr>
      </w:pPr>
      <w:r>
        <w:rPr>
          <w:rFonts w:asciiTheme="minorHAnsi" w:hAnsiTheme="minorHAnsi" w:cstheme="minorHAnsi"/>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pPr>
        <w:spacing w:after="0"/>
        <w:rPr>
          <w:rFonts w:asciiTheme="minorHAnsi" w:hAnsiTheme="minorHAnsi" w:cstheme="minorHAnsi"/>
        </w:rPr>
      </w:pPr>
      <w:r>
        <w:rPr>
          <w:rFonts w:asciiTheme="minorHAnsi" w:hAnsiTheme="minorHAnsi" w:cstheme="minorHAnsi"/>
        </w:rPr>
        <w:t xml:space="preserve">Unlike other adult-involved incidents, financially motivated sexual extortion is usually carried out by offenders working in sophisticated </w:t>
      </w:r>
      <w:proofErr w:type="spellStart"/>
      <w:r>
        <w:rPr>
          <w:rFonts w:asciiTheme="minorHAnsi" w:hAnsiTheme="minorHAnsi" w:cstheme="minorHAnsi"/>
        </w:rPr>
        <w:t>organised</w:t>
      </w:r>
      <w:proofErr w:type="spellEnd"/>
      <w:r>
        <w:rPr>
          <w:rFonts w:asciiTheme="minorHAnsi" w:hAnsiTheme="minorHAnsi" w:cstheme="minorHAnsi"/>
        </w:rPr>
        <w:t xml:space="preserve"> crime groups (OCGs) overseas and are only motivated by profit. Adults are usually targeted by these groups too.</w:t>
      </w:r>
    </w:p>
    <w:p>
      <w:pPr>
        <w:spacing w:after="0"/>
        <w:rPr>
          <w:rFonts w:asciiTheme="minorHAnsi" w:hAnsiTheme="minorHAnsi" w:cstheme="minorHAnsi"/>
        </w:rPr>
      </w:pPr>
    </w:p>
    <w:p>
      <w:pPr>
        <w:spacing w:after="0"/>
        <w:rPr>
          <w:rFonts w:asciiTheme="minorHAnsi" w:hAnsiTheme="minorHAnsi" w:cstheme="minorHAnsi"/>
        </w:rPr>
      </w:pPr>
      <w:r>
        <w:rPr>
          <w:rFonts w:asciiTheme="minorHAnsi" w:hAnsiTheme="minorHAnsi" w:cstheme="minorHAnsi"/>
        </w:rPr>
        <w:t>Offenders will often use a false identity, sometimes posing as a child or young person, or hack another young person’s account to make initial contact. To financially blackmail the child or young person, they may:</w:t>
      </w:r>
    </w:p>
    <w:p>
      <w:pPr>
        <w:pStyle w:val="ListParagraph"/>
        <w:numPr>
          <w:ilvl w:val="0"/>
          <w:numId w:val="66"/>
        </w:numPr>
        <w:spacing w:after="0"/>
        <w:rPr>
          <w:rFonts w:asciiTheme="minorHAnsi" w:hAnsiTheme="minorHAnsi" w:cstheme="minorHAnsi"/>
        </w:rPr>
      </w:pPr>
      <w:r>
        <w:rPr>
          <w:rFonts w:asciiTheme="minorHAnsi" w:hAnsiTheme="minorHAnsi" w:cstheme="minorHAnsi"/>
        </w:rPr>
        <w:t>Groom or coerce the child or young person into sending nudes or semi-nudes and financially blackmail them</w:t>
      </w:r>
    </w:p>
    <w:p>
      <w:pPr>
        <w:pStyle w:val="ListParagraph"/>
        <w:numPr>
          <w:ilvl w:val="0"/>
          <w:numId w:val="66"/>
        </w:numPr>
        <w:spacing w:after="0"/>
        <w:rPr>
          <w:rFonts w:asciiTheme="minorHAnsi" w:hAnsiTheme="minorHAnsi" w:cstheme="minorHAnsi"/>
        </w:rPr>
      </w:pPr>
      <w:r>
        <w:rPr>
          <w:rFonts w:asciiTheme="minorHAnsi" w:hAnsiTheme="minorHAnsi" w:cstheme="minorHAnsi"/>
        </w:rPr>
        <w:t>Use images that have been stolen from the child or young person taken through hacking their account</w:t>
      </w:r>
    </w:p>
    <w:p>
      <w:pPr>
        <w:pStyle w:val="ListParagraph"/>
        <w:numPr>
          <w:ilvl w:val="0"/>
          <w:numId w:val="66"/>
        </w:numPr>
        <w:spacing w:after="0"/>
        <w:rPr>
          <w:rFonts w:asciiTheme="minorHAnsi" w:hAnsiTheme="minorHAnsi" w:cstheme="minorHAnsi"/>
        </w:rPr>
      </w:pPr>
      <w:r>
        <w:rPr>
          <w:rFonts w:asciiTheme="minorHAnsi" w:hAnsiTheme="minorHAnsi" w:cstheme="minorHAnsi"/>
        </w:rPr>
        <w:t>Use digitally manipulated images, including AI-generated images, of the child or young person</w:t>
      </w:r>
    </w:p>
    <w:p>
      <w:pPr>
        <w:pStyle w:val="ListParagraph"/>
        <w:numPr>
          <w:ilvl w:val="0"/>
          <w:numId w:val="66"/>
        </w:numPr>
        <w:spacing w:after="0"/>
        <w:rPr>
          <w:rFonts w:asciiTheme="minorHAnsi" w:hAnsiTheme="minorHAnsi" w:cstheme="minorHAnsi"/>
        </w:rPr>
      </w:pPr>
      <w:r>
        <w:rPr>
          <w:rFonts w:asciiTheme="minorHAnsi" w:hAnsiTheme="minorHAnsi" w:cstheme="minorHAnsi"/>
        </w:rPr>
        <w:t>The offender may demand payment or the use of the victim’s bank account for the purposes of money laundering.</w:t>
      </w:r>
    </w:p>
    <w:p>
      <w:pPr>
        <w:spacing w:after="0"/>
        <w:rPr>
          <w:rFonts w:asciiTheme="minorHAnsi" w:hAnsiTheme="minorHAnsi" w:cstheme="minorHAnsi"/>
        </w:rPr>
      </w:pPr>
    </w:p>
    <w:p>
      <w:pPr>
        <w:spacing w:after="0"/>
        <w:rPr>
          <w:rFonts w:asciiTheme="minorHAnsi" w:hAnsiTheme="minorHAnsi" w:cstheme="minorHAnsi"/>
        </w:rPr>
      </w:pPr>
      <w:r>
        <w:rPr>
          <w:rFonts w:asciiTheme="minorHAnsi" w:hAnsiTheme="minorHAnsi" w:cstheme="minorHAnsi"/>
        </w:rPr>
        <w:t>Potential signs of adult-involved financially motivated sexual extortion can include the child or young person being:</w:t>
      </w:r>
    </w:p>
    <w:p>
      <w:pPr>
        <w:pStyle w:val="ListParagraph"/>
        <w:numPr>
          <w:ilvl w:val="0"/>
          <w:numId w:val="67"/>
        </w:numPr>
        <w:spacing w:after="0"/>
        <w:rPr>
          <w:rFonts w:asciiTheme="minorHAnsi" w:hAnsiTheme="minorHAnsi" w:cstheme="minorHAnsi"/>
        </w:rPr>
      </w:pPr>
      <w:r>
        <w:rPr>
          <w:rFonts w:asciiTheme="minorHAnsi" w:hAnsiTheme="minorHAnsi" w:cstheme="minorHAnsi"/>
        </w:rPr>
        <w:t>Contacted by an online account that they do not know but appears to be another child or young person. They may be contacted by a hacked account of a child or young person</w:t>
      </w:r>
    </w:p>
    <w:p>
      <w:pPr>
        <w:pStyle w:val="ListParagraph"/>
        <w:numPr>
          <w:ilvl w:val="0"/>
          <w:numId w:val="67"/>
        </w:numPr>
        <w:spacing w:after="0"/>
        <w:rPr>
          <w:rFonts w:asciiTheme="minorHAnsi" w:hAnsiTheme="minorHAnsi" w:cstheme="minorHAnsi"/>
        </w:rPr>
      </w:pPr>
      <w:r>
        <w:rPr>
          <w:rFonts w:asciiTheme="minorHAnsi" w:hAnsiTheme="minorHAnsi" w:cstheme="minorHAnsi"/>
        </w:rPr>
        <w:t>Quickly engaged in sexually explicit communications which may include the offender sharing an image first</w:t>
      </w:r>
    </w:p>
    <w:p>
      <w:pPr>
        <w:pStyle w:val="ListParagraph"/>
        <w:numPr>
          <w:ilvl w:val="0"/>
          <w:numId w:val="67"/>
        </w:numPr>
        <w:spacing w:after="0"/>
        <w:rPr>
          <w:rFonts w:asciiTheme="minorHAnsi" w:hAnsiTheme="minorHAnsi" w:cstheme="minorHAnsi"/>
        </w:rPr>
      </w:pPr>
      <w:r>
        <w:rPr>
          <w:rFonts w:asciiTheme="minorHAnsi" w:hAnsiTheme="minorHAnsi" w:cstheme="minorHAnsi"/>
        </w:rPr>
        <w:t>Moved from a public to a private/E2EE platform</w:t>
      </w:r>
    </w:p>
    <w:p>
      <w:pPr>
        <w:pStyle w:val="ListParagraph"/>
        <w:numPr>
          <w:ilvl w:val="0"/>
          <w:numId w:val="67"/>
        </w:numPr>
        <w:spacing w:after="0"/>
        <w:rPr>
          <w:rFonts w:asciiTheme="minorHAnsi" w:hAnsiTheme="minorHAnsi" w:cstheme="minorHAnsi"/>
        </w:rPr>
      </w:pPr>
      <w:r>
        <w:rPr>
          <w:rFonts w:asciiTheme="minorHAnsi" w:hAnsiTheme="minorHAnsi" w:cstheme="minorHAnsi"/>
        </w:rPr>
        <w:t>Pressured into taking nudes or semi-nudes</w:t>
      </w:r>
    </w:p>
    <w:p>
      <w:pPr>
        <w:pStyle w:val="ListParagraph"/>
        <w:numPr>
          <w:ilvl w:val="0"/>
          <w:numId w:val="67"/>
        </w:numPr>
        <w:spacing w:after="0"/>
        <w:rPr>
          <w:rFonts w:asciiTheme="minorHAnsi" w:hAnsiTheme="minorHAnsi" w:cstheme="minorHAnsi"/>
        </w:rPr>
      </w:pPr>
      <w:r>
        <w:rPr>
          <w:rFonts w:asciiTheme="minorHAnsi" w:hAnsiTheme="minorHAnsi" w:cstheme="minorHAnsi"/>
        </w:rPr>
        <w:t>Told they have been hacked and they have access to their images, personal information and contacts</w:t>
      </w:r>
    </w:p>
    <w:p>
      <w:pPr>
        <w:pStyle w:val="ListParagraph"/>
        <w:numPr>
          <w:ilvl w:val="0"/>
          <w:numId w:val="67"/>
        </w:numPr>
        <w:spacing w:after="0"/>
        <w:rPr>
          <w:rFonts w:asciiTheme="minorHAnsi" w:hAnsiTheme="minorHAnsi" w:cstheme="minorHAnsi"/>
        </w:rPr>
      </w:pPr>
      <w:r>
        <w:rPr>
          <w:rFonts w:asciiTheme="minorHAnsi" w:hAnsiTheme="minorHAnsi" w:cstheme="minorHAnsi"/>
        </w:rPr>
        <w:t>Blackmailed into sending money or sharing bank account details after sharing an image or the offender sharing hacked or digitally manipulated images of the child or young person</w:t>
      </w:r>
    </w:p>
    <w:p>
      <w:pPr>
        <w:pStyle w:val="Heading1"/>
        <w:rPr>
          <w:sz w:val="28"/>
          <w:highlight w:val="white"/>
        </w:rPr>
      </w:pPr>
      <w:bookmarkStart w:id="149" w:name="_Toc172030665"/>
      <w:r>
        <w:rPr>
          <w:sz w:val="28"/>
          <w:highlight w:val="white"/>
        </w:rPr>
        <w:t>Breast Ironing</w:t>
      </w:r>
      <w:bookmarkEnd w:id="149"/>
    </w:p>
    <w:p>
      <w:pPr>
        <w:spacing w:after="0"/>
        <w:rPr>
          <w:rFonts w:asciiTheme="minorHAnsi" w:hAnsiTheme="minorHAnsi" w:cstheme="minorHAnsi"/>
          <w:highlight w:val="white"/>
        </w:rPr>
      </w:pPr>
      <w:r>
        <w:rPr>
          <w:rFonts w:asciiTheme="minorHAnsi" w:hAnsiTheme="minorHAnsi" w:cstheme="minorHAnsi"/>
          <w:highlight w:val="white"/>
        </w:rPr>
        <w:t>Breast ironing is a form of physical abuse that has been condemned by the United Nations and identified as Gender-based Violence.  Although, countries where breast ironing is prevalent have ratified the African Charter on Human Rights to prevent harmful traditional practices, it is not against the law.</w:t>
      </w:r>
    </w:p>
    <w:p>
      <w:pPr>
        <w:spacing w:after="0"/>
        <w:rPr>
          <w:rFonts w:asciiTheme="minorHAnsi" w:hAnsiTheme="minorHAnsi" w:cstheme="minorHAnsi"/>
          <w:highlight w:val="white"/>
        </w:rPr>
      </w:pPr>
      <w:r>
        <w:rPr>
          <w:rFonts w:asciiTheme="minorHAnsi" w:hAnsiTheme="minorHAnsi" w:cstheme="minorHAnsi"/>
          <w:highlight w:val="white"/>
        </w:rPr>
        <w:t xml:space="preserve">Breast ironing, also known as breast flattening, is the process whereby young pubescent girls are ironed, massaged and/or pounded down through the use of hard or heated objects in order for the breasts to disappear or to delay the development of the breasts entirely. </w:t>
      </w:r>
    </w:p>
    <w:p>
      <w:pPr>
        <w:spacing w:after="0"/>
        <w:rPr>
          <w:rFonts w:asciiTheme="minorHAnsi" w:hAnsiTheme="minorHAnsi" w:cstheme="minorHAnsi"/>
          <w:highlight w:val="white"/>
        </w:rPr>
      </w:pPr>
      <w:r>
        <w:rPr>
          <w:rFonts w:asciiTheme="minorHAnsi" w:hAnsiTheme="minorHAnsi" w:cstheme="minorHAnsi"/>
          <w:highlight w:val="white"/>
        </w:rPr>
        <w:t xml:space="preserve">Breast ironing is a harmful cultural practice and is child abuse.  Indicators may include; unusual </w:t>
      </w:r>
      <w:proofErr w:type="spellStart"/>
      <w:r>
        <w:rPr>
          <w:rFonts w:asciiTheme="minorHAnsi" w:hAnsiTheme="minorHAnsi" w:cstheme="minorHAnsi"/>
          <w:highlight w:val="white"/>
        </w:rPr>
        <w:t>behaviour</w:t>
      </w:r>
      <w:proofErr w:type="spellEnd"/>
      <w:r>
        <w:rPr>
          <w:rFonts w:asciiTheme="minorHAnsi" w:hAnsiTheme="minorHAnsi" w:cstheme="minorHAnsi"/>
          <w:highlight w:val="white"/>
        </w:rPr>
        <w:t xml:space="preserve"> after an absence including depression, anxiety, aggression, withdrawn </w:t>
      </w:r>
      <w:proofErr w:type="spellStart"/>
      <w:r>
        <w:rPr>
          <w:rFonts w:asciiTheme="minorHAnsi" w:hAnsiTheme="minorHAnsi" w:cstheme="minorHAnsi"/>
          <w:highlight w:val="white"/>
        </w:rPr>
        <w:t>etc</w:t>
      </w:r>
      <w:proofErr w:type="spellEnd"/>
      <w:r>
        <w:rPr>
          <w:rFonts w:asciiTheme="minorHAnsi" w:hAnsiTheme="minorHAnsi" w:cstheme="minorHAnsi"/>
          <w:highlight w:val="white"/>
        </w:rPr>
        <w:t>; reluctance in undergoing normal medical examinations; some girls may ask for help, but may not be explicit about the problem due to embarrassment or fear; fear of changing for physical activities due to scars showing or bandages being visible.</w:t>
      </w:r>
    </w:p>
    <w:p>
      <w:pPr>
        <w:pStyle w:val="Heading1"/>
        <w:spacing w:before="360"/>
        <w:rPr>
          <w:sz w:val="28"/>
        </w:rPr>
      </w:pPr>
      <w:bookmarkStart w:id="150" w:name="_Toc172030666"/>
      <w:r>
        <w:rPr>
          <w:sz w:val="28"/>
        </w:rPr>
        <w:t>Voyeurism - “</w:t>
      </w:r>
      <w:proofErr w:type="spellStart"/>
      <w:r>
        <w:rPr>
          <w:sz w:val="28"/>
        </w:rPr>
        <w:t>upskirting</w:t>
      </w:r>
      <w:proofErr w:type="spellEnd"/>
      <w:r>
        <w:rPr>
          <w:sz w:val="28"/>
        </w:rPr>
        <w:t>”</w:t>
      </w:r>
      <w:bookmarkEnd w:id="150"/>
    </w:p>
    <w:p>
      <w:pPr>
        <w:spacing w:after="0"/>
        <w:ind w:left="40"/>
        <w:rPr>
          <w:rFonts w:asciiTheme="minorHAnsi" w:hAnsiTheme="minorHAnsi" w:cstheme="minorHAnsi"/>
        </w:rPr>
      </w:pPr>
      <w:r>
        <w:rPr>
          <w:rFonts w:asciiTheme="minorHAnsi" w:hAnsiTheme="minorHAnsi" w:cstheme="minorHAnsi"/>
        </w:rPr>
        <w:t>Placing equipment such as a camera or mobile phone beneath a person’s clothing to take a voyeuristic photograph without their permission to obtain sexual gratification, or cause the victim humiliation, distress or alarm.   It is now a criminal offence.</w:t>
      </w:r>
    </w:p>
    <w:p>
      <w:pPr>
        <w:spacing w:after="0"/>
        <w:ind w:left="40"/>
        <w:rPr>
          <w:rFonts w:asciiTheme="minorHAnsi" w:hAnsiTheme="minorHAnsi" w:cstheme="minorHAnsi"/>
        </w:rPr>
      </w:pPr>
      <w:r>
        <w:rPr>
          <w:rFonts w:asciiTheme="minorHAnsi" w:hAnsiTheme="minorHAnsi" w:cstheme="minorHAnsi"/>
        </w:rPr>
        <w:t>This applies equally whether males or females are wearing kilts, cassocks shorts or trousers.</w:t>
      </w:r>
    </w:p>
    <w:p>
      <w:pPr>
        <w:pStyle w:val="Heading1"/>
        <w:rPr>
          <w:sz w:val="28"/>
          <w:szCs w:val="28"/>
        </w:rPr>
      </w:pPr>
      <w:bookmarkStart w:id="151" w:name="_heading=h.984ilbcbcung" w:colFirst="0" w:colLast="0"/>
      <w:bookmarkStart w:id="152" w:name="_Toc172030667"/>
      <w:bookmarkEnd w:id="151"/>
      <w:r>
        <w:rPr>
          <w:sz w:val="28"/>
          <w:szCs w:val="28"/>
        </w:rPr>
        <w:lastRenderedPageBreak/>
        <w:t>Fabricated or induced illness</w:t>
      </w:r>
      <w:bookmarkEnd w:id="152"/>
    </w:p>
    <w:p>
      <w:pPr>
        <w:spacing w:after="0"/>
        <w:rPr>
          <w:rFonts w:asciiTheme="minorHAnsi" w:hAnsiTheme="minorHAnsi" w:cstheme="minorHAnsi"/>
        </w:rPr>
      </w:pPr>
      <w:r>
        <w:rPr>
          <w:rFonts w:asciiTheme="minorHAnsi" w:hAnsiTheme="minorHAnsi" w:cstheme="minorHAnsi"/>
        </w:rPr>
        <w:t>Perplexing Presentations (PP) has been introduced to describe those situations where there are indicators of possible FII which have not caused or brought on any actual significant harm.</w:t>
      </w:r>
    </w:p>
    <w:p>
      <w:pPr>
        <w:spacing w:after="0"/>
        <w:rPr>
          <w:rFonts w:asciiTheme="minorHAnsi" w:hAnsiTheme="minorHAnsi" w:cstheme="minorHAnsi"/>
          <w:b/>
        </w:rPr>
      </w:pPr>
      <w:r>
        <w:rPr>
          <w:rFonts w:asciiTheme="minorHAnsi" w:hAnsiTheme="minorHAnsi" w:cstheme="minorHAnsi"/>
        </w:rPr>
        <w:t xml:space="preserve">It is important to highlight any potential discrepancies between reports, presentations of the child and independent observations of the child. What is key to note are implausible descriptions and/or unexplained findings and/or parental </w:t>
      </w:r>
      <w:proofErr w:type="spellStart"/>
      <w:r>
        <w:rPr>
          <w:rFonts w:asciiTheme="minorHAnsi" w:hAnsiTheme="minorHAnsi" w:cstheme="minorHAnsi"/>
        </w:rPr>
        <w:t>behaviour</w:t>
      </w:r>
      <w:proofErr w:type="spellEnd"/>
      <w:r>
        <w:rPr>
          <w:rFonts w:asciiTheme="minorHAnsi" w:hAnsiTheme="minorHAnsi" w:cstheme="minorHAnsi"/>
        </w:rPr>
        <w:t>.</w:t>
      </w:r>
    </w:p>
    <w:p>
      <w:pPr>
        <w:spacing w:after="0"/>
        <w:rPr>
          <w:rFonts w:asciiTheme="minorHAnsi" w:hAnsiTheme="minorHAnsi" w:cstheme="minorHAnsi"/>
        </w:rPr>
      </w:pPr>
      <w:r>
        <w:rPr>
          <w:rFonts w:asciiTheme="minorHAnsi" w:hAnsiTheme="minorHAnsi" w:cstheme="minorHAnsi"/>
        </w:rPr>
        <w:t xml:space="preserve">This is a rare form of child abuse where a parent, or </w:t>
      </w:r>
      <w:proofErr w:type="spellStart"/>
      <w:r>
        <w:rPr>
          <w:rFonts w:asciiTheme="minorHAnsi" w:hAnsiTheme="minorHAnsi" w:cstheme="minorHAnsi"/>
        </w:rPr>
        <w:t>carer</w:t>
      </w:r>
      <w:proofErr w:type="spellEnd"/>
      <w:r>
        <w:rPr>
          <w:rFonts w:asciiTheme="minorHAnsi" w:hAnsiTheme="minorHAnsi" w:cstheme="minorHAnsi"/>
        </w:rPr>
        <w:t xml:space="preserve">, exaggerates or deliberately causes symptoms if illness in the child.  There are three main ways that a </w:t>
      </w:r>
      <w:proofErr w:type="spellStart"/>
      <w:r>
        <w:rPr>
          <w:rFonts w:asciiTheme="minorHAnsi" w:hAnsiTheme="minorHAnsi" w:cstheme="minorHAnsi"/>
        </w:rPr>
        <w:t>carer</w:t>
      </w:r>
      <w:proofErr w:type="spellEnd"/>
      <w:r>
        <w:rPr>
          <w:rFonts w:asciiTheme="minorHAnsi" w:hAnsiTheme="minorHAnsi" w:cstheme="minorHAnsi"/>
        </w:rPr>
        <w:t xml:space="preserve"> could fabricate or induce illness in a child, these are not mutually exclusive and include:</w:t>
      </w:r>
    </w:p>
    <w:p>
      <w:pPr>
        <w:pStyle w:val="ListParagraph"/>
        <w:numPr>
          <w:ilvl w:val="0"/>
          <w:numId w:val="66"/>
        </w:numPr>
        <w:spacing w:after="0"/>
        <w:rPr>
          <w:rFonts w:asciiTheme="minorHAnsi" w:hAnsiTheme="minorHAnsi" w:cstheme="minorHAnsi"/>
        </w:rPr>
      </w:pPr>
      <w:r>
        <w:rPr>
          <w:rFonts w:asciiTheme="minorHAnsi" w:hAnsiTheme="minorHAnsi" w:cstheme="minorHAnsi"/>
        </w:rPr>
        <w:t>fabrication of signs and symptoms - this may include fabrication of past medical history.</w:t>
      </w:r>
    </w:p>
    <w:p>
      <w:pPr>
        <w:pStyle w:val="ListParagraph"/>
        <w:numPr>
          <w:ilvl w:val="0"/>
          <w:numId w:val="66"/>
        </w:numPr>
        <w:spacing w:after="0"/>
        <w:rPr>
          <w:rFonts w:asciiTheme="minorHAnsi" w:hAnsiTheme="minorHAnsi" w:cstheme="minorHAnsi"/>
        </w:rPr>
      </w:pPr>
      <w:r>
        <w:rPr>
          <w:rFonts w:asciiTheme="minorHAnsi" w:hAnsiTheme="minorHAnsi" w:cstheme="minorHAnsi"/>
        </w:rPr>
        <w:t xml:space="preserve">falsification of hospital charts and records and specimens of bodily fluids.  This may also include falsification of letters and documents. </w:t>
      </w:r>
    </w:p>
    <w:p>
      <w:pPr>
        <w:pStyle w:val="ListParagraph"/>
        <w:numPr>
          <w:ilvl w:val="0"/>
          <w:numId w:val="66"/>
        </w:numPr>
        <w:spacing w:after="0"/>
        <w:rPr>
          <w:rFonts w:asciiTheme="minorHAnsi" w:hAnsiTheme="minorHAnsi" w:cstheme="minorHAnsi"/>
        </w:rPr>
      </w:pPr>
      <w:r>
        <w:rPr>
          <w:rFonts w:asciiTheme="minorHAnsi" w:hAnsiTheme="minorHAnsi" w:cstheme="minorHAnsi"/>
        </w:rPr>
        <w:t>Induction of illness by a variety of means.</w:t>
      </w:r>
    </w:p>
    <w:p>
      <w:pPr>
        <w:spacing w:after="0"/>
        <w:ind w:left="40"/>
        <w:rPr>
          <w:rFonts w:asciiTheme="minorHAnsi" w:hAnsiTheme="minorHAnsi" w:cstheme="minorHAnsi"/>
          <w:color w:val="1155CC"/>
          <w:u w:val="single"/>
        </w:rPr>
      </w:pPr>
      <w:r>
        <w:rPr>
          <w:rFonts w:asciiTheme="minorHAnsi" w:hAnsiTheme="minorHAnsi" w:cstheme="minorHAnsi"/>
        </w:rPr>
        <w:t>Further information can be found here:</w:t>
      </w:r>
      <w:r>
        <w:rPr>
          <w:rFonts w:asciiTheme="minorHAnsi" w:hAnsiTheme="minorHAnsi" w:cstheme="minorHAnsi"/>
        </w:rPr>
        <w:br/>
      </w:r>
      <w:hyperlink r:id="rId69">
        <w:r>
          <w:rPr>
            <w:rFonts w:asciiTheme="minorHAnsi" w:hAnsiTheme="minorHAnsi" w:cstheme="minorHAnsi"/>
          </w:rPr>
          <w:t xml:space="preserve"> </w:t>
        </w:r>
      </w:hyperlink>
      <w:hyperlink r:id="rId70">
        <w:r>
          <w:rPr>
            <w:rFonts w:asciiTheme="minorHAnsi" w:hAnsiTheme="minorHAnsi" w:cstheme="minorHAnsi"/>
            <w:color w:val="1155CC"/>
            <w:u w:val="single"/>
          </w:rPr>
          <w:t>https://www.gov.uk/government/uploads/system/uploads/attachment_data/file/277314/Safeguarding_Children_in_whom_illness_is_fabricated_or_induced.pdf</w:t>
        </w:r>
      </w:hyperlink>
    </w:p>
    <w:p>
      <w:pPr>
        <w:pStyle w:val="Heading1"/>
        <w:rPr>
          <w:sz w:val="28"/>
        </w:rPr>
      </w:pPr>
      <w:bookmarkStart w:id="153" w:name="_Toc172030668"/>
      <w:r>
        <w:rPr>
          <w:sz w:val="28"/>
        </w:rPr>
        <w:t>Private Fostering Arrangements</w:t>
      </w:r>
      <w:bookmarkEnd w:id="153"/>
    </w:p>
    <w:p>
      <w:pPr>
        <w:spacing w:after="0" w:line="240" w:lineRule="auto"/>
        <w:rPr>
          <w:rFonts w:asciiTheme="minorHAnsi" w:hAnsiTheme="minorHAnsi" w:cstheme="minorHAnsi"/>
        </w:rPr>
      </w:pPr>
      <w:r>
        <w:rPr>
          <w:rFonts w:asciiTheme="minorHAnsi" w:hAnsiTheme="minorHAnsi" w:cstheme="minorHAnsi"/>
        </w:rPr>
        <w:t xml:space="preserve">A private fostering arrangement occurs when someone </w:t>
      </w:r>
      <w:r>
        <w:rPr>
          <w:rFonts w:asciiTheme="minorHAnsi" w:hAnsiTheme="minorHAnsi" w:cstheme="minorHAnsi"/>
          <w:u w:val="single"/>
        </w:rPr>
        <w:t>other than</w:t>
      </w:r>
      <w:r>
        <w:rPr>
          <w:rFonts w:asciiTheme="minorHAnsi" w:hAnsiTheme="minorHAnsi" w:cstheme="minorHAnsi"/>
        </w:rPr>
        <w:t xml:space="preserve"> a parent or a close relative cares for a child for a period of 28 days or more, with the agreement of the child’s parents.  It applies to children under the age of 16, or aged under 18 if the child is disabled.  Children looked after by the local authority or who are placed in a residential school, children’s home or hospital are not considered to be privately fostered.</w:t>
      </w:r>
    </w:p>
    <w:p>
      <w:pPr>
        <w:spacing w:after="0" w:line="240" w:lineRule="auto"/>
        <w:rPr>
          <w:rFonts w:asciiTheme="minorHAnsi" w:hAnsiTheme="minorHAnsi" w:cstheme="minorHAnsi"/>
        </w:rPr>
      </w:pPr>
      <w:r>
        <w:rPr>
          <w:rFonts w:asciiTheme="minorHAnsi" w:hAnsiTheme="minorHAnsi" w:cstheme="minorHAnsi"/>
        </w:rPr>
        <w:t>Private fostering occurs in all cultures, including British culture and children may be privately fostered at any age.</w:t>
      </w:r>
    </w:p>
    <w:p>
      <w:pPr>
        <w:spacing w:after="0" w:line="240" w:lineRule="auto"/>
        <w:rPr>
          <w:rFonts w:asciiTheme="minorHAnsi" w:hAnsiTheme="minorHAnsi" w:cstheme="minorHAnsi"/>
        </w:rPr>
      </w:pPr>
    </w:p>
    <w:p>
      <w:pPr>
        <w:spacing w:after="0" w:line="240" w:lineRule="auto"/>
        <w:rPr>
          <w:rFonts w:asciiTheme="minorHAnsi" w:hAnsiTheme="minorHAnsi" w:cstheme="minorHAnsi"/>
        </w:rPr>
      </w:pPr>
      <w:r>
        <w:rPr>
          <w:rFonts w:asciiTheme="minorHAnsi" w:hAnsiTheme="minorHAnsi" w:cstheme="minorHAnsi"/>
        </w:rPr>
        <w:t xml:space="preserve"> Most privately fostered children remain safe and well but safeguarding concerns have been raised in some cases so it is important that schools are alert to possible safeguarding issues, including the possibility that a child has been trafficked into the country. By law, a parent, private foster </w:t>
      </w:r>
      <w:proofErr w:type="spellStart"/>
      <w:r>
        <w:rPr>
          <w:rFonts w:asciiTheme="minorHAnsi" w:hAnsiTheme="minorHAnsi" w:cstheme="minorHAnsi"/>
        </w:rPr>
        <w:t>carer</w:t>
      </w:r>
      <w:proofErr w:type="spellEnd"/>
      <w:r>
        <w:rPr>
          <w:rFonts w:asciiTheme="minorHAnsi" w:hAnsiTheme="minorHAnsi" w:cstheme="minorHAnsi"/>
        </w:rPr>
        <w:t xml:space="preserve"> or other persons involved in making a private fostering arrangement must notify children’s services as soon as possible.  Where a member of staff becomes aware that a pupil may be in a private fostering arrangement they will raise this with the DSL/DDSL and the school should notify the local authority of the circumstances.</w:t>
      </w:r>
    </w:p>
    <w:p>
      <w:pPr>
        <w:pStyle w:val="Heading1"/>
        <w:rPr>
          <w:sz w:val="28"/>
        </w:rPr>
      </w:pPr>
      <w:bookmarkStart w:id="154" w:name="_Toc172030669"/>
      <w:r>
        <w:rPr>
          <w:sz w:val="28"/>
        </w:rPr>
        <w:t>Missing pupils</w:t>
      </w:r>
      <w:bookmarkEnd w:id="154"/>
    </w:p>
    <w:p>
      <w:pPr>
        <w:spacing w:after="0"/>
      </w:pPr>
      <w:r>
        <w:t xml:space="preserve">Our procedures are designed to ensure that a missing child is found and returned to effective supervision as soon as possible. </w:t>
      </w:r>
    </w:p>
    <w:p>
      <w:pPr>
        <w:pStyle w:val="Heading1"/>
        <w:rPr>
          <w:b w:val="0"/>
          <w:color w:val="0070C0"/>
          <w:sz w:val="22"/>
          <w:szCs w:val="22"/>
        </w:rPr>
      </w:pPr>
      <w:bookmarkStart w:id="155" w:name="_Toc172030670"/>
      <w:r>
        <w:rPr>
          <w:b w:val="0"/>
          <w:color w:val="0070C0"/>
          <w:sz w:val="22"/>
          <w:szCs w:val="22"/>
        </w:rPr>
        <w:t xml:space="preserve">https://www.highfieldceprimaryschool.co.uk/attachments/download.asp?file=1169&amp;type=pdf  </w:t>
      </w:r>
    </w:p>
    <w:p>
      <w:pPr>
        <w:pStyle w:val="Heading1"/>
      </w:pPr>
      <w:r>
        <w:rPr>
          <w:sz w:val="28"/>
        </w:rPr>
        <w:t>Non-collection of children</w:t>
      </w:r>
      <w:bookmarkEnd w:id="155"/>
    </w:p>
    <w:p>
      <w:pPr>
        <w:spacing w:after="0"/>
        <w:rPr>
          <w:color w:val="00B050"/>
        </w:rPr>
      </w:pPr>
      <w:r>
        <w:t>If a child is not collected at the end of the session/day, we will follow the protocol guidance set out by the local authority in the school’s Late Collection Policy.</w:t>
      </w:r>
    </w:p>
    <w:p>
      <w:pPr>
        <w:pStyle w:val="Heading1"/>
        <w:rPr>
          <w:sz w:val="28"/>
        </w:rPr>
      </w:pPr>
      <w:bookmarkStart w:id="156" w:name="_Toc471121540"/>
      <w:bookmarkStart w:id="157" w:name="_Toc145850460"/>
      <w:bookmarkStart w:id="158" w:name="_Toc172030671"/>
      <w:r>
        <w:rPr>
          <w:sz w:val="28"/>
        </w:rPr>
        <w:lastRenderedPageBreak/>
        <w:t>P</w:t>
      </w:r>
      <w:bookmarkEnd w:id="156"/>
      <w:r>
        <w:rPr>
          <w:sz w:val="28"/>
        </w:rPr>
        <w:t>arenting</w:t>
      </w:r>
      <w:bookmarkEnd w:id="157"/>
      <w:bookmarkEnd w:id="158"/>
      <w:r>
        <w:rPr>
          <w:sz w:val="28"/>
        </w:rPr>
        <w:t xml:space="preserve"> </w:t>
      </w:r>
    </w:p>
    <w:p>
      <w:pPr>
        <w:spacing w:after="0"/>
      </w:pPr>
      <w:r>
        <w:t xml:space="preserve">All parents will struggle with the </w:t>
      </w:r>
      <w:proofErr w:type="spellStart"/>
      <w:r>
        <w:t>behaviour</w:t>
      </w:r>
      <w:proofErr w:type="spellEnd"/>
      <w:r>
        <w:t xml:space="preserve"> of their child(ren) at some point. This does not make them poor parents or generate safeguarding concerns. Rather it makes them human and provides them with opportunities to learn and develop new skills and approaches to deal with their child(ren). </w:t>
      </w:r>
    </w:p>
    <w:p>
      <w:pPr>
        <w:spacing w:after="0"/>
      </w:pPr>
    </w:p>
    <w:p>
      <w:pPr>
        <w:spacing w:after="0"/>
      </w:pPr>
      <w:r>
        <w:t xml:space="preserve">Some children have medical conditions and/or needs e.g. Tourette’s, some autistic linked conditions, ADHD;  that have a direct impact on </w:t>
      </w:r>
      <w:proofErr w:type="spellStart"/>
      <w:r>
        <w:t>behaviour</w:t>
      </w:r>
      <w:proofErr w:type="spellEnd"/>
      <w:r>
        <w:t xml:space="preserve"> and can cause challenges for parents in dealing with </w:t>
      </w:r>
      <w:proofErr w:type="spellStart"/>
      <w:r>
        <w:t>behaviours</w:t>
      </w:r>
      <w:proofErr w:type="spellEnd"/>
      <w:r>
        <w:t xml:space="preserve">. This does not highlight poor parenting either. </w:t>
      </w:r>
    </w:p>
    <w:p>
      <w:pPr>
        <w:spacing w:after="0"/>
      </w:pPr>
    </w:p>
    <w:p>
      <w:pPr>
        <w:spacing w:after="0"/>
      </w:pPr>
      <w:r>
        <w:t xml:space="preserve">Parenting becomes a safeguarding concern when the repeated lack of supervision, boundaries, basic care or medical treatment places the child(ren) in situations of risk or harm. </w:t>
      </w:r>
    </w:p>
    <w:p>
      <w:pPr>
        <w:spacing w:after="0"/>
      </w:pPr>
    </w:p>
    <w:p>
      <w:pPr>
        <w:spacing w:after="0"/>
      </w:pPr>
      <w:r>
        <w:t>In situations where parents struggle with tasks such as setting boundaries and providing appropriate supervision, timely interventions, for example through school staff or the Children and Families First (previously Early Help) team can make drastic changes to the wellbeing and life experiences of the child(ren) without the requirement for a social work assessment or plan being in place.</w:t>
      </w:r>
    </w:p>
    <w:p>
      <w:pPr>
        <w:spacing w:after="0"/>
      </w:pPr>
    </w:p>
    <w:p>
      <w:pPr>
        <w:spacing w:after="80"/>
      </w:pPr>
      <w:r>
        <w:t>As a school we will support parents in understanding the parenting role and provide them with strategies to make a difference by:</w:t>
      </w:r>
    </w:p>
    <w:p>
      <w:pPr>
        <w:pStyle w:val="ListParagraph"/>
        <w:numPr>
          <w:ilvl w:val="0"/>
          <w:numId w:val="71"/>
        </w:numPr>
        <w:spacing w:after="0"/>
      </w:pPr>
      <w:r>
        <w:t xml:space="preserve">providing details of community based parenting courses </w:t>
      </w:r>
    </w:p>
    <w:p>
      <w:pPr>
        <w:pStyle w:val="ListParagraph"/>
        <w:numPr>
          <w:ilvl w:val="0"/>
          <w:numId w:val="71"/>
        </w:numPr>
        <w:spacing w:after="0"/>
      </w:pPr>
      <w:r>
        <w:t xml:space="preserve">linking to web based parenting resources (for example </w:t>
      </w:r>
      <w:hyperlink r:id="rId71" w:history="1">
        <w:r>
          <w:rPr>
            <w:rStyle w:val="Hyperlink"/>
            <w:rFonts w:cs="Arial"/>
            <w:i/>
          </w:rPr>
          <w:t>http://www.familylives.org.uk/</w:t>
        </w:r>
      </w:hyperlink>
      <w:r>
        <w:t xml:space="preserve">) </w:t>
      </w:r>
    </w:p>
    <w:p>
      <w:pPr>
        <w:pStyle w:val="ListParagraph"/>
        <w:numPr>
          <w:ilvl w:val="0"/>
          <w:numId w:val="71"/>
        </w:numPr>
        <w:spacing w:after="0"/>
      </w:pPr>
      <w:r>
        <w:t>referring to the school parenting worker/home school link worker (where available)</w:t>
      </w:r>
    </w:p>
    <w:p>
      <w:pPr>
        <w:pStyle w:val="ListParagraph"/>
        <w:numPr>
          <w:ilvl w:val="0"/>
          <w:numId w:val="71"/>
        </w:numPr>
        <w:spacing w:after="0"/>
        <w:rPr>
          <w:rFonts w:asciiTheme="minorHAnsi" w:hAnsiTheme="minorHAnsi" w:cstheme="minorHAnsi"/>
        </w:rPr>
      </w:pPr>
      <w:r>
        <w:t>discussing the issue with the parent and supporting them in making their own plans of how to res</w:t>
      </w:r>
      <w:r>
        <w:rPr>
          <w:rFonts w:asciiTheme="minorHAnsi" w:hAnsiTheme="minorHAnsi" w:cstheme="minorHAnsi"/>
        </w:rPr>
        <w:t xml:space="preserve">pond differently (using evidence based parenting </w:t>
      </w:r>
      <w:proofErr w:type="spellStart"/>
      <w:r>
        <w:rPr>
          <w:rFonts w:asciiTheme="minorHAnsi" w:hAnsiTheme="minorHAnsi" w:cstheme="minorHAnsi"/>
        </w:rPr>
        <w:t>programmes</w:t>
      </w:r>
      <w:proofErr w:type="spellEnd"/>
      <w:r>
        <w:rPr>
          <w:rFonts w:asciiTheme="minorHAnsi" w:hAnsiTheme="minorHAnsi" w:cstheme="minorHAnsi"/>
        </w:rPr>
        <w:t>)</w:t>
      </w:r>
    </w:p>
    <w:p>
      <w:pPr>
        <w:pStyle w:val="ListParagraph"/>
        <w:numPr>
          <w:ilvl w:val="0"/>
          <w:numId w:val="71"/>
        </w:numPr>
        <w:spacing w:after="0"/>
        <w:rPr>
          <w:rFonts w:asciiTheme="minorHAnsi" w:hAnsiTheme="minorHAnsi" w:cstheme="minorHAnsi"/>
        </w:rPr>
      </w:pPr>
      <w:r>
        <w:rPr>
          <w:rFonts w:asciiTheme="minorHAnsi" w:hAnsiTheme="minorHAnsi" w:cstheme="minorHAnsi"/>
        </w:rPr>
        <w:t>Considering appropriate services or referral for support</w:t>
      </w:r>
      <w:hyperlink r:id="rId72" w:history="1">
        <w:r>
          <w:rPr>
            <w:rFonts w:asciiTheme="minorHAnsi" w:hAnsiTheme="minorHAnsi" w:cstheme="minorHAnsi"/>
            <w:u w:val="single"/>
          </w:rPr>
          <w:t xml:space="preserve"> from Children and Families First (previously Early Help  (southampton.gov.uk)</w:t>
        </w:r>
      </w:hyperlink>
    </w:p>
    <w:p>
      <w:pPr>
        <w:spacing w:after="0"/>
        <w:rPr>
          <w:rFonts w:asciiTheme="minorHAnsi" w:hAnsiTheme="minorHAnsi" w:cstheme="minorHAnsi"/>
        </w:rPr>
      </w:pPr>
    </w:p>
    <w:p>
      <w:pPr>
        <w:spacing w:after="0"/>
        <w:rPr>
          <w:rFonts w:asciiTheme="minorHAnsi" w:hAnsiTheme="minorHAnsi" w:cstheme="minorHAnsi"/>
        </w:rPr>
      </w:pPr>
      <w:r>
        <w:rPr>
          <w:rFonts w:asciiTheme="minorHAnsi" w:hAnsiTheme="minorHAnsi" w:cstheme="minorHAnsi"/>
        </w:rPr>
        <w:t xml:space="preserve">Parents and </w:t>
      </w:r>
      <w:proofErr w:type="spellStart"/>
      <w:r>
        <w:rPr>
          <w:rFonts w:asciiTheme="minorHAnsi" w:hAnsiTheme="minorHAnsi" w:cstheme="minorHAnsi"/>
        </w:rPr>
        <w:t>carers</w:t>
      </w:r>
      <w:proofErr w:type="spellEnd"/>
      <w:r>
        <w:rPr>
          <w:rFonts w:asciiTheme="minorHAnsi" w:hAnsiTheme="minorHAnsi" w:cstheme="minorHAnsi"/>
        </w:rPr>
        <w:t xml:space="preserve"> have the main responsibility for safeguarding and promoting their child’s welfare and the school </w:t>
      </w:r>
      <w:proofErr w:type="spellStart"/>
      <w:r>
        <w:rPr>
          <w:rFonts w:asciiTheme="minorHAnsi" w:hAnsiTheme="minorHAnsi" w:cstheme="minorHAnsi"/>
        </w:rPr>
        <w:t>recognises</w:t>
      </w:r>
      <w:proofErr w:type="spellEnd"/>
      <w:r>
        <w:rPr>
          <w:rFonts w:asciiTheme="minorHAnsi" w:hAnsiTheme="minorHAnsi" w:cstheme="minorHAnsi"/>
        </w:rPr>
        <w:t xml:space="preserve"> the importance of working in partnership with them to ensure the welfare and safety of pupils.</w:t>
      </w:r>
    </w:p>
    <w:p>
      <w:pPr>
        <w:spacing w:after="0"/>
        <w:rPr>
          <w:rFonts w:asciiTheme="minorHAnsi" w:hAnsiTheme="minorHAnsi" w:cstheme="minorHAnsi"/>
        </w:rPr>
      </w:pPr>
    </w:p>
    <w:p>
      <w:pPr>
        <w:spacing w:after="80"/>
        <w:rPr>
          <w:rFonts w:asciiTheme="minorHAnsi" w:hAnsiTheme="minorHAnsi" w:cstheme="minorHAnsi"/>
        </w:rPr>
      </w:pPr>
      <w:r>
        <w:rPr>
          <w:rFonts w:asciiTheme="minorHAnsi" w:hAnsiTheme="minorHAnsi" w:cstheme="minorHAnsi"/>
        </w:rPr>
        <w:t>The school will:</w:t>
      </w:r>
    </w:p>
    <w:p>
      <w:pPr>
        <w:pStyle w:val="ListParagraph"/>
        <w:numPr>
          <w:ilvl w:val="0"/>
          <w:numId w:val="72"/>
        </w:numPr>
        <w:spacing w:after="0"/>
        <w:rPr>
          <w:rFonts w:asciiTheme="minorHAnsi" w:hAnsiTheme="minorHAnsi" w:cstheme="minorHAnsi"/>
        </w:rPr>
      </w:pPr>
      <w:r>
        <w:rPr>
          <w:rFonts w:asciiTheme="minorHAnsi" w:hAnsiTheme="minorHAnsi" w:cstheme="minorHAnsi"/>
        </w:rPr>
        <w:t xml:space="preserve">make parents and </w:t>
      </w:r>
      <w:proofErr w:type="spellStart"/>
      <w:r>
        <w:rPr>
          <w:rFonts w:asciiTheme="minorHAnsi" w:hAnsiTheme="minorHAnsi" w:cstheme="minorHAnsi"/>
        </w:rPr>
        <w:t>carers</w:t>
      </w:r>
      <w:proofErr w:type="spellEnd"/>
      <w:r>
        <w:rPr>
          <w:rFonts w:asciiTheme="minorHAnsi" w:hAnsiTheme="minorHAnsi" w:cstheme="minorHAnsi"/>
        </w:rPr>
        <w:t xml:space="preserve"> aware of the school’s statutory role in safeguarding and promoting the welfare of pupils</w:t>
      </w:r>
    </w:p>
    <w:p>
      <w:pPr>
        <w:pStyle w:val="ListParagraph"/>
        <w:numPr>
          <w:ilvl w:val="0"/>
          <w:numId w:val="72"/>
        </w:numPr>
        <w:spacing w:after="0"/>
        <w:rPr>
          <w:rFonts w:asciiTheme="minorHAnsi" w:hAnsiTheme="minorHAnsi" w:cstheme="minorHAnsi"/>
        </w:rPr>
      </w:pPr>
      <w:r>
        <w:rPr>
          <w:rFonts w:asciiTheme="minorHAnsi" w:hAnsiTheme="minorHAnsi" w:cstheme="minorHAnsi"/>
        </w:rPr>
        <w:t xml:space="preserve">make parents and </w:t>
      </w:r>
      <w:proofErr w:type="spellStart"/>
      <w:r>
        <w:rPr>
          <w:rFonts w:asciiTheme="minorHAnsi" w:hAnsiTheme="minorHAnsi" w:cstheme="minorHAnsi"/>
        </w:rPr>
        <w:t>carers</w:t>
      </w:r>
      <w:proofErr w:type="spellEnd"/>
      <w:r>
        <w:rPr>
          <w:rFonts w:asciiTheme="minorHAnsi" w:hAnsiTheme="minorHAnsi" w:cstheme="minorHAnsi"/>
        </w:rPr>
        <w:t xml:space="preserve"> aware of the duty to refer pupils on where necessary, by making relevant school policies available on the school website and printed on request</w:t>
      </w:r>
    </w:p>
    <w:p>
      <w:pPr>
        <w:pStyle w:val="ListParagraph"/>
        <w:numPr>
          <w:ilvl w:val="0"/>
          <w:numId w:val="72"/>
        </w:numPr>
        <w:spacing w:after="0"/>
        <w:rPr>
          <w:rFonts w:asciiTheme="minorHAnsi" w:hAnsiTheme="minorHAnsi" w:cstheme="minorHAnsi"/>
        </w:rPr>
      </w:pPr>
      <w:r>
        <w:rPr>
          <w:rFonts w:asciiTheme="minorHAnsi" w:hAnsiTheme="minorHAnsi" w:cstheme="minorHAnsi"/>
        </w:rPr>
        <w:t xml:space="preserve">provide opportunities for parents and </w:t>
      </w:r>
      <w:proofErr w:type="spellStart"/>
      <w:r>
        <w:rPr>
          <w:rFonts w:asciiTheme="minorHAnsi" w:hAnsiTheme="minorHAnsi" w:cstheme="minorHAnsi"/>
        </w:rPr>
        <w:t>carers</w:t>
      </w:r>
      <w:proofErr w:type="spellEnd"/>
      <w:r>
        <w:rPr>
          <w:rFonts w:asciiTheme="minorHAnsi" w:hAnsiTheme="minorHAnsi" w:cstheme="minorHAnsi"/>
        </w:rPr>
        <w:t xml:space="preserve"> to discuss any problems with class teachers and other relevant staff</w:t>
      </w:r>
    </w:p>
    <w:p>
      <w:pPr>
        <w:pStyle w:val="ListParagraph"/>
        <w:numPr>
          <w:ilvl w:val="0"/>
          <w:numId w:val="72"/>
        </w:numPr>
        <w:spacing w:after="0"/>
        <w:rPr>
          <w:rFonts w:asciiTheme="minorHAnsi" w:hAnsiTheme="minorHAnsi" w:cstheme="minorHAnsi"/>
        </w:rPr>
      </w:pPr>
      <w:r>
        <w:rPr>
          <w:rFonts w:asciiTheme="minorHAnsi" w:hAnsiTheme="minorHAnsi" w:cstheme="minorHAnsi"/>
        </w:rPr>
        <w:t xml:space="preserve">consult with and involve parents and </w:t>
      </w:r>
      <w:proofErr w:type="spellStart"/>
      <w:r>
        <w:rPr>
          <w:rFonts w:asciiTheme="minorHAnsi" w:hAnsiTheme="minorHAnsi" w:cstheme="minorHAnsi"/>
        </w:rPr>
        <w:t>carers</w:t>
      </w:r>
      <w:proofErr w:type="spellEnd"/>
      <w:r>
        <w:rPr>
          <w:rFonts w:asciiTheme="minorHAnsi" w:hAnsiTheme="minorHAnsi" w:cstheme="minorHAnsi"/>
        </w:rPr>
        <w:t xml:space="preserve"> in the development of school policies to ensure their views are taken into account</w:t>
      </w:r>
    </w:p>
    <w:p>
      <w:pPr>
        <w:pStyle w:val="ListParagraph"/>
        <w:numPr>
          <w:ilvl w:val="0"/>
          <w:numId w:val="72"/>
        </w:numPr>
        <w:spacing w:after="0"/>
        <w:rPr>
          <w:rFonts w:asciiTheme="minorHAnsi" w:hAnsiTheme="minorHAnsi" w:cstheme="minorHAnsi"/>
        </w:rPr>
      </w:pPr>
      <w:r>
        <w:rPr>
          <w:rFonts w:asciiTheme="minorHAnsi" w:hAnsiTheme="minorHAnsi" w:cstheme="minorHAnsi"/>
        </w:rPr>
        <w:t xml:space="preserve">ensure a robust complaints system is in place to deal with issues raised by parents and </w:t>
      </w:r>
      <w:proofErr w:type="spellStart"/>
      <w:r>
        <w:rPr>
          <w:rFonts w:asciiTheme="minorHAnsi" w:hAnsiTheme="minorHAnsi" w:cstheme="minorHAnsi"/>
        </w:rPr>
        <w:t>carers</w:t>
      </w:r>
      <w:proofErr w:type="spellEnd"/>
    </w:p>
    <w:p>
      <w:pPr>
        <w:pStyle w:val="ListParagraph"/>
        <w:numPr>
          <w:ilvl w:val="0"/>
          <w:numId w:val="72"/>
        </w:numPr>
        <w:spacing w:after="0"/>
        <w:rPr>
          <w:rFonts w:asciiTheme="minorHAnsi" w:hAnsiTheme="minorHAnsi" w:cstheme="minorHAnsi"/>
        </w:rPr>
      </w:pPr>
      <w:r>
        <w:rPr>
          <w:rFonts w:asciiTheme="minorHAnsi" w:hAnsiTheme="minorHAnsi" w:cstheme="minorHAnsi"/>
        </w:rPr>
        <w:t xml:space="preserve">provide advice and signpost parents and </w:t>
      </w:r>
      <w:proofErr w:type="spellStart"/>
      <w:r>
        <w:rPr>
          <w:rFonts w:asciiTheme="minorHAnsi" w:hAnsiTheme="minorHAnsi" w:cstheme="minorHAnsi"/>
        </w:rPr>
        <w:t>carers</w:t>
      </w:r>
      <w:proofErr w:type="spellEnd"/>
      <w:r>
        <w:rPr>
          <w:rFonts w:asciiTheme="minorHAnsi" w:hAnsiTheme="minorHAnsi" w:cstheme="minorHAnsi"/>
        </w:rPr>
        <w:t xml:space="preserve"> to other services and resources where pupils need extra support.</w:t>
      </w:r>
    </w:p>
    <w:p>
      <w:pPr>
        <w:pStyle w:val="Heading2"/>
        <w:rPr>
          <w:sz w:val="28"/>
        </w:rPr>
      </w:pPr>
      <w:bookmarkStart w:id="159" w:name="_Toc172030672"/>
      <w:r>
        <w:rPr>
          <w:sz w:val="28"/>
        </w:rPr>
        <w:t xml:space="preserve">Working with Parents and </w:t>
      </w:r>
      <w:proofErr w:type="spellStart"/>
      <w:r>
        <w:rPr>
          <w:sz w:val="28"/>
        </w:rPr>
        <w:t>Carers</w:t>
      </w:r>
      <w:bookmarkEnd w:id="159"/>
      <w:proofErr w:type="spellEnd"/>
      <w:r>
        <w:rPr>
          <w:sz w:val="28"/>
        </w:rPr>
        <w:t xml:space="preserve"> </w:t>
      </w:r>
    </w:p>
    <w:p>
      <w:pPr>
        <w:spacing w:after="0"/>
        <w:rPr>
          <w:rFonts w:asciiTheme="minorHAnsi" w:hAnsiTheme="minorHAnsi" w:cstheme="minorHAnsi"/>
          <w:color w:val="000000"/>
        </w:rPr>
      </w:pPr>
      <w:r>
        <w:rPr>
          <w:rFonts w:asciiTheme="minorHAnsi" w:hAnsiTheme="minorHAnsi" w:cstheme="minorHAnsi"/>
          <w:color w:val="000000"/>
        </w:rPr>
        <w:t xml:space="preserve">Parents and </w:t>
      </w:r>
      <w:proofErr w:type="spellStart"/>
      <w:r>
        <w:rPr>
          <w:rFonts w:asciiTheme="minorHAnsi" w:hAnsiTheme="minorHAnsi" w:cstheme="minorHAnsi"/>
          <w:color w:val="000000"/>
        </w:rPr>
        <w:t>carers</w:t>
      </w:r>
      <w:proofErr w:type="spellEnd"/>
      <w:r>
        <w:rPr>
          <w:rFonts w:asciiTheme="minorHAnsi" w:hAnsiTheme="minorHAnsi" w:cstheme="minorHAnsi"/>
          <w:color w:val="000000"/>
        </w:rPr>
        <w:t xml:space="preserve"> have the main responsibility for safeguarding and promoting their child’s welfare and the School </w:t>
      </w:r>
      <w:proofErr w:type="spellStart"/>
      <w:r>
        <w:rPr>
          <w:rFonts w:asciiTheme="minorHAnsi" w:hAnsiTheme="minorHAnsi" w:cstheme="minorHAnsi"/>
          <w:color w:val="000000"/>
        </w:rPr>
        <w:t>recognises</w:t>
      </w:r>
      <w:proofErr w:type="spellEnd"/>
      <w:r>
        <w:rPr>
          <w:rFonts w:asciiTheme="minorHAnsi" w:hAnsiTheme="minorHAnsi" w:cstheme="minorHAnsi"/>
          <w:color w:val="000000"/>
        </w:rPr>
        <w:t xml:space="preserve"> the importance of working in partnership with them to ensure the welfare and safety of pupils. </w:t>
      </w:r>
    </w:p>
    <w:p>
      <w:pPr>
        <w:spacing w:after="80"/>
        <w:rPr>
          <w:rFonts w:asciiTheme="minorHAnsi" w:hAnsiTheme="minorHAnsi" w:cstheme="minorHAnsi"/>
          <w:color w:val="000000"/>
        </w:rPr>
      </w:pPr>
      <w:r>
        <w:rPr>
          <w:rFonts w:asciiTheme="minorHAnsi" w:hAnsiTheme="minorHAnsi" w:cstheme="minorHAnsi"/>
          <w:color w:val="000000"/>
        </w:rPr>
        <w:t xml:space="preserve">The School will: </w:t>
      </w:r>
    </w:p>
    <w:p>
      <w:pPr>
        <w:pStyle w:val="ListParagraph"/>
        <w:numPr>
          <w:ilvl w:val="0"/>
          <w:numId w:val="73"/>
        </w:numPr>
        <w:spacing w:after="0"/>
        <w:rPr>
          <w:rFonts w:asciiTheme="minorHAnsi" w:hAnsiTheme="minorHAnsi" w:cstheme="minorHAnsi"/>
          <w:color w:val="000000"/>
        </w:rPr>
      </w:pPr>
      <w:r>
        <w:rPr>
          <w:rFonts w:asciiTheme="minorHAnsi" w:hAnsiTheme="minorHAnsi" w:cstheme="minorHAnsi"/>
          <w:color w:val="000000"/>
        </w:rPr>
        <w:lastRenderedPageBreak/>
        <w:t xml:space="preserve">make parents and </w:t>
      </w:r>
      <w:proofErr w:type="spellStart"/>
      <w:r>
        <w:rPr>
          <w:rFonts w:asciiTheme="minorHAnsi" w:hAnsiTheme="minorHAnsi" w:cstheme="minorHAnsi"/>
          <w:color w:val="000000"/>
        </w:rPr>
        <w:t>carers</w:t>
      </w:r>
      <w:proofErr w:type="spellEnd"/>
      <w:r>
        <w:rPr>
          <w:rFonts w:asciiTheme="minorHAnsi" w:hAnsiTheme="minorHAnsi" w:cstheme="minorHAnsi"/>
          <w:color w:val="000000"/>
        </w:rPr>
        <w:t xml:space="preserve"> aware of the School’s statutory role in safeguarding and promoting the welfare of pupils, including the duty to refer pupils on where necessary, by making all the School policies available on the School website or printed on request </w:t>
      </w:r>
    </w:p>
    <w:p>
      <w:pPr>
        <w:pStyle w:val="ListParagraph"/>
        <w:numPr>
          <w:ilvl w:val="0"/>
          <w:numId w:val="73"/>
        </w:numPr>
        <w:spacing w:after="0"/>
        <w:rPr>
          <w:rFonts w:asciiTheme="minorHAnsi" w:hAnsiTheme="minorHAnsi" w:cstheme="minorHAnsi"/>
          <w:color w:val="000000"/>
        </w:rPr>
      </w:pPr>
      <w:r>
        <w:rPr>
          <w:rFonts w:asciiTheme="minorHAnsi" w:hAnsiTheme="minorHAnsi" w:cstheme="minorHAnsi"/>
          <w:color w:val="000000"/>
        </w:rPr>
        <w:t xml:space="preserve">provide opportunities for parents and </w:t>
      </w:r>
      <w:proofErr w:type="spellStart"/>
      <w:r>
        <w:rPr>
          <w:rFonts w:asciiTheme="minorHAnsi" w:hAnsiTheme="minorHAnsi" w:cstheme="minorHAnsi"/>
          <w:color w:val="000000"/>
        </w:rPr>
        <w:t>carers</w:t>
      </w:r>
      <w:proofErr w:type="spellEnd"/>
      <w:r>
        <w:rPr>
          <w:rFonts w:asciiTheme="minorHAnsi" w:hAnsiTheme="minorHAnsi" w:cstheme="minorHAnsi"/>
          <w:color w:val="000000"/>
        </w:rPr>
        <w:t xml:space="preserve"> to discuss any problems with class teachers and other relevant staff </w:t>
      </w:r>
    </w:p>
    <w:p>
      <w:pPr>
        <w:pStyle w:val="ListParagraph"/>
        <w:numPr>
          <w:ilvl w:val="0"/>
          <w:numId w:val="73"/>
        </w:numPr>
        <w:spacing w:after="0"/>
        <w:rPr>
          <w:rFonts w:asciiTheme="minorHAnsi" w:hAnsiTheme="minorHAnsi" w:cstheme="minorHAnsi"/>
          <w:color w:val="000000"/>
        </w:rPr>
      </w:pPr>
      <w:r>
        <w:rPr>
          <w:rFonts w:asciiTheme="minorHAnsi" w:hAnsiTheme="minorHAnsi" w:cstheme="minorHAnsi"/>
          <w:color w:val="000000"/>
        </w:rPr>
        <w:t xml:space="preserve">consult with and involve parents and </w:t>
      </w:r>
      <w:proofErr w:type="spellStart"/>
      <w:r>
        <w:rPr>
          <w:rFonts w:asciiTheme="minorHAnsi" w:hAnsiTheme="minorHAnsi" w:cstheme="minorHAnsi"/>
          <w:color w:val="000000"/>
        </w:rPr>
        <w:t>carers</w:t>
      </w:r>
      <w:proofErr w:type="spellEnd"/>
      <w:r>
        <w:rPr>
          <w:rFonts w:asciiTheme="minorHAnsi" w:hAnsiTheme="minorHAnsi" w:cstheme="minorHAnsi"/>
          <w:color w:val="000000"/>
        </w:rPr>
        <w:t xml:space="preserve"> in the development of the School policies to ensure their views are ta</w:t>
      </w:r>
      <w:r>
        <w:rPr>
          <w:rFonts w:asciiTheme="minorHAnsi" w:hAnsiTheme="minorHAnsi" w:cstheme="minorHAnsi"/>
        </w:rPr>
        <w:t xml:space="preserve">ken into account </w:t>
      </w:r>
    </w:p>
    <w:p>
      <w:pPr>
        <w:pStyle w:val="ListParagraph"/>
        <w:numPr>
          <w:ilvl w:val="0"/>
          <w:numId w:val="73"/>
        </w:numPr>
        <w:spacing w:after="0"/>
        <w:rPr>
          <w:rFonts w:asciiTheme="minorHAnsi" w:hAnsiTheme="minorHAnsi" w:cstheme="minorHAnsi"/>
          <w:color w:val="000000"/>
        </w:rPr>
      </w:pPr>
      <w:r>
        <w:rPr>
          <w:rFonts w:asciiTheme="minorHAnsi" w:hAnsiTheme="minorHAnsi" w:cstheme="minorHAnsi"/>
        </w:rPr>
        <w:t xml:space="preserve">ensure a robust complaints system is in place to deal with issues raised by parents and </w:t>
      </w:r>
      <w:proofErr w:type="spellStart"/>
      <w:r>
        <w:rPr>
          <w:rFonts w:asciiTheme="minorHAnsi" w:hAnsiTheme="minorHAnsi" w:cstheme="minorHAnsi"/>
        </w:rPr>
        <w:t>carers</w:t>
      </w:r>
      <w:proofErr w:type="spellEnd"/>
      <w:r>
        <w:rPr>
          <w:rFonts w:asciiTheme="minorHAnsi" w:hAnsiTheme="minorHAnsi" w:cstheme="minorHAnsi"/>
        </w:rPr>
        <w:t xml:space="preserve"> provide advice and signpost parents and </w:t>
      </w:r>
      <w:proofErr w:type="spellStart"/>
      <w:r>
        <w:rPr>
          <w:rFonts w:asciiTheme="minorHAnsi" w:hAnsiTheme="minorHAnsi" w:cstheme="minorHAnsi"/>
        </w:rPr>
        <w:t>carers</w:t>
      </w:r>
      <w:proofErr w:type="spellEnd"/>
      <w:r>
        <w:rPr>
          <w:rFonts w:asciiTheme="minorHAnsi" w:hAnsiTheme="minorHAnsi" w:cstheme="minorHAnsi"/>
        </w:rPr>
        <w:t xml:space="preserve"> to other services and resources where pupils need extra support.</w:t>
      </w:r>
    </w:p>
    <w:p>
      <w:pPr>
        <w:pStyle w:val="Heading2"/>
      </w:pPr>
      <w:bookmarkStart w:id="160" w:name="_Toc172030673"/>
      <w:r>
        <w:rPr>
          <w:sz w:val="28"/>
        </w:rPr>
        <w:t>Issues Relating to Parental Responsibility</w:t>
      </w:r>
      <w:bookmarkEnd w:id="160"/>
    </w:p>
    <w:p>
      <w:pPr>
        <w:spacing w:after="0"/>
        <w:rPr>
          <w:rFonts w:asciiTheme="minorHAnsi" w:hAnsiTheme="minorHAnsi" w:cstheme="minorHAnsi"/>
          <w:color w:val="0B0C0C"/>
          <w:shd w:val="clear" w:color="auto" w:fill="FFFFFF"/>
        </w:rPr>
      </w:pPr>
      <w:r>
        <w:rPr>
          <w:rFonts w:asciiTheme="minorHAnsi" w:hAnsiTheme="minorHAnsi" w:cstheme="minorHAnsi"/>
          <w:color w:val="0B0C0C"/>
          <w:shd w:val="clear" w:color="auto" w:fill="FFFFFF"/>
        </w:rPr>
        <w:t>Sometimes, as a school, we can find ourselves caught up in disputes between a number of adults, each claiming to have parental responsibility for a particular child. Schools are also expected to navigate complex living arrangements, particularly for children who are living in social care, where parental responsibility can be confusing or unclear.</w:t>
      </w:r>
    </w:p>
    <w:p>
      <w:pPr>
        <w:spacing w:after="0"/>
        <w:rPr>
          <w:rFonts w:asciiTheme="minorHAnsi" w:hAnsiTheme="minorHAnsi" w:cstheme="minorHAnsi"/>
          <w:color w:val="0B0C0C"/>
          <w:shd w:val="clear" w:color="auto" w:fill="FFFFFF"/>
        </w:rPr>
      </w:pPr>
      <w:r>
        <w:rPr>
          <w:rFonts w:asciiTheme="minorHAnsi" w:hAnsiTheme="minorHAnsi" w:cstheme="minorHAnsi"/>
          <w:color w:val="0B0C0C"/>
          <w:shd w:val="clear" w:color="auto" w:fill="FFFFFF"/>
        </w:rPr>
        <w:t xml:space="preserve">The government has issued guidance (updated October 2018) which will support schools with this area: </w:t>
      </w:r>
    </w:p>
    <w:p>
      <w:pPr>
        <w:spacing w:after="0"/>
        <w:rPr>
          <w:rFonts w:asciiTheme="minorHAnsi" w:hAnsiTheme="minorHAnsi" w:cstheme="minorHAnsi"/>
          <w:i/>
          <w:sz w:val="20"/>
          <w:szCs w:val="20"/>
        </w:rPr>
      </w:pPr>
      <w:hyperlink r:id="rId73" w:history="1">
        <w:r>
          <w:rPr>
            <w:rStyle w:val="Hyperlink"/>
            <w:rFonts w:asciiTheme="minorHAnsi" w:hAnsiTheme="minorHAnsi" w:cstheme="minorHAnsi"/>
            <w:i/>
            <w:sz w:val="20"/>
            <w:szCs w:val="20"/>
          </w:rPr>
          <w:t>https://www.gov.uk/government/publications/dealing-with-issues-relating-to-parental-responsibility/understanding-and-dealing-with-issues-relating-to-parental-responsibility</w:t>
        </w:r>
      </w:hyperlink>
      <w:r>
        <w:rPr>
          <w:rFonts w:asciiTheme="minorHAnsi" w:hAnsiTheme="minorHAnsi" w:cstheme="minorHAnsi"/>
          <w:i/>
          <w:sz w:val="20"/>
          <w:szCs w:val="20"/>
        </w:rPr>
        <w:t xml:space="preserve"> </w:t>
      </w:r>
    </w:p>
    <w:p>
      <w:pPr>
        <w:pStyle w:val="Heading2"/>
        <w:rPr>
          <w:sz w:val="28"/>
        </w:rPr>
      </w:pPr>
      <w:bookmarkStart w:id="161" w:name="_Toc172030674"/>
      <w:r>
        <w:rPr>
          <w:sz w:val="28"/>
        </w:rPr>
        <w:t>Working with Aggressive and Violent Parents</w:t>
      </w:r>
      <w:bookmarkEnd w:id="161"/>
      <w:r>
        <w:rPr>
          <w:sz w:val="28"/>
        </w:rPr>
        <w:t xml:space="preserve"> </w:t>
      </w:r>
    </w:p>
    <w:p>
      <w:pPr>
        <w:spacing w:after="0"/>
        <w:rPr>
          <w:rFonts w:asciiTheme="minorHAnsi" w:hAnsiTheme="minorHAnsi" w:cstheme="minorHAnsi"/>
          <w:color w:val="000000"/>
        </w:rPr>
      </w:pPr>
      <w:r>
        <w:rPr>
          <w:rFonts w:asciiTheme="minorHAnsi" w:hAnsiTheme="minorHAnsi" w:cstheme="minorHAnsi"/>
          <w:color w:val="000000"/>
        </w:rPr>
        <w:t xml:space="preserve">The School may consider that aggressive, abusive or insulting </w:t>
      </w:r>
      <w:proofErr w:type="spellStart"/>
      <w:r>
        <w:rPr>
          <w:rFonts w:asciiTheme="minorHAnsi" w:hAnsiTheme="minorHAnsi" w:cstheme="minorHAnsi"/>
          <w:color w:val="000000"/>
        </w:rPr>
        <w:t>behaviour</w:t>
      </w:r>
      <w:proofErr w:type="spellEnd"/>
      <w:r>
        <w:rPr>
          <w:rFonts w:asciiTheme="minorHAnsi" w:hAnsiTheme="minorHAnsi" w:cstheme="minorHAnsi"/>
          <w:color w:val="000000"/>
        </w:rPr>
        <w:t xml:space="preserve">, or language from a parent presents a risk to staff or pupils. It is enough for a member of staff or a pupil to feel threatened. In such a circumstance, the school does have a power in common law to bar the parent from the premises. The School will discuss this decision with the Chair of Governors prior to imposing the ban to ensure that they are acting reasonably. All attempts to discuss the </w:t>
      </w:r>
      <w:proofErr w:type="spellStart"/>
      <w:r>
        <w:rPr>
          <w:rFonts w:asciiTheme="minorHAnsi" w:hAnsiTheme="minorHAnsi" w:cstheme="minorHAnsi"/>
          <w:color w:val="000000"/>
        </w:rPr>
        <w:t>behaviour</w:t>
      </w:r>
      <w:proofErr w:type="spellEnd"/>
      <w:r>
        <w:rPr>
          <w:rFonts w:asciiTheme="minorHAnsi" w:hAnsiTheme="minorHAnsi" w:cstheme="minorHAnsi"/>
          <w:color w:val="000000"/>
        </w:rPr>
        <w:t xml:space="preserve"> with the parent/ </w:t>
      </w:r>
      <w:proofErr w:type="spellStart"/>
      <w:r>
        <w:rPr>
          <w:rFonts w:asciiTheme="minorHAnsi" w:hAnsiTheme="minorHAnsi" w:cstheme="minorHAnsi"/>
          <w:color w:val="000000"/>
        </w:rPr>
        <w:t>carer</w:t>
      </w:r>
      <w:proofErr w:type="spellEnd"/>
      <w:r>
        <w:rPr>
          <w:rFonts w:asciiTheme="minorHAnsi" w:hAnsiTheme="minorHAnsi" w:cstheme="minorHAnsi"/>
          <w:color w:val="000000"/>
        </w:rPr>
        <w:t xml:space="preserve"> will be undertaken and a warning letter issued unless the incident has been deemed extreme. </w:t>
      </w:r>
    </w:p>
    <w:p>
      <w:pPr>
        <w:spacing w:after="0"/>
        <w:rPr>
          <w:rFonts w:asciiTheme="minorHAnsi" w:hAnsiTheme="minorHAnsi" w:cstheme="minorHAnsi"/>
          <w:color w:val="000000"/>
        </w:rPr>
      </w:pPr>
    </w:p>
    <w:p>
      <w:pPr>
        <w:spacing w:after="0"/>
        <w:rPr>
          <w:rFonts w:asciiTheme="minorHAnsi" w:hAnsiTheme="minorHAnsi" w:cstheme="minorHAnsi"/>
          <w:color w:val="000000"/>
        </w:rPr>
      </w:pPr>
      <w:r>
        <w:rPr>
          <w:rFonts w:asciiTheme="minorHAnsi" w:hAnsiTheme="minorHAnsi" w:cstheme="minorHAnsi"/>
          <w:color w:val="000000"/>
        </w:rPr>
        <w:t>Any bar should be subject to review within a reasonable timescale to be stated by the School. Allowing the parent a reasonable opportunity to make representations is an essential part of the process. The school follows the guidelines from the DFE Advice on security: Access to and barring persons from premises:</w:t>
      </w:r>
    </w:p>
    <w:p>
      <w:pPr>
        <w:spacing w:after="0"/>
        <w:rPr>
          <w:rFonts w:asciiTheme="minorHAnsi" w:hAnsiTheme="minorHAnsi" w:cstheme="minorHAnsi"/>
          <w:i/>
          <w:color w:val="000000"/>
          <w:sz w:val="20"/>
          <w:szCs w:val="20"/>
        </w:rPr>
      </w:pPr>
      <w:hyperlink r:id="rId74" w:history="1">
        <w:r>
          <w:rPr>
            <w:rStyle w:val="Hyperlink"/>
            <w:rFonts w:asciiTheme="minorHAnsi" w:hAnsiTheme="minorHAnsi" w:cstheme="minorHAnsi"/>
            <w:i/>
            <w:sz w:val="20"/>
            <w:szCs w:val="20"/>
          </w:rPr>
          <w:t>https://assets.publishing.service.gov.uk/government/uploads/system/uploads/attachment_data/file/295978/school_security_advice_181212__2__.pdf</w:t>
        </w:r>
      </w:hyperlink>
      <w:r>
        <w:rPr>
          <w:rFonts w:asciiTheme="minorHAnsi" w:hAnsiTheme="minorHAnsi" w:cstheme="minorHAnsi"/>
          <w:i/>
          <w:color w:val="000000"/>
          <w:sz w:val="20"/>
          <w:szCs w:val="20"/>
        </w:rPr>
        <w:t xml:space="preserve"> </w:t>
      </w:r>
    </w:p>
    <w:p>
      <w:pPr>
        <w:rPr>
          <w:rFonts w:ascii="Roboto" w:eastAsia="Roboto" w:hAnsi="Roboto" w:cs="Roboto"/>
          <w:color w:val="242424"/>
          <w:sz w:val="20"/>
          <w:szCs w:val="20"/>
          <w:shd w:val="clear" w:color="auto" w:fill="FAFAFA"/>
        </w:rPr>
      </w:pPr>
    </w:p>
    <w:p>
      <w:pPr>
        <w:pStyle w:val="Heading2"/>
        <w:rPr>
          <w:sz w:val="28"/>
        </w:rPr>
      </w:pPr>
      <w:bookmarkStart w:id="162" w:name="_Toc172030675"/>
      <w:r>
        <w:rPr>
          <w:sz w:val="28"/>
        </w:rPr>
        <w:t>Children and the court system</w:t>
      </w:r>
      <w:bookmarkEnd w:id="162"/>
    </w:p>
    <w:p>
      <w:pPr>
        <w:shd w:val="clear" w:color="auto" w:fill="FFFFFF"/>
        <w:spacing w:after="0"/>
        <w:rPr>
          <w:rFonts w:asciiTheme="minorHAnsi" w:eastAsia="Arial" w:hAnsiTheme="minorHAnsi" w:cstheme="minorHAnsi"/>
        </w:rPr>
      </w:pPr>
      <w:r>
        <w:rPr>
          <w:rFonts w:asciiTheme="minorHAnsi" w:eastAsia="Arial" w:hAnsiTheme="minorHAnsi" w:cstheme="minorHAnsi"/>
        </w:rPr>
        <w:t xml:space="preserve">Children are sometimes required to give evidence in criminal courts, either for crimes committed against them or for crimes they have witnessed. There are two age appropriate guides to support children </w:t>
      </w:r>
      <w:hyperlink r:id="rId75">
        <w:r>
          <w:rPr>
            <w:rFonts w:asciiTheme="minorHAnsi" w:eastAsia="Arial" w:hAnsiTheme="minorHAnsi" w:cstheme="minorHAnsi"/>
            <w:b/>
            <w:color w:val="0676C5"/>
          </w:rPr>
          <w:t>5-11-year olds</w:t>
        </w:r>
      </w:hyperlink>
      <w:r>
        <w:rPr>
          <w:rFonts w:asciiTheme="minorHAnsi" w:eastAsia="Arial" w:hAnsiTheme="minorHAnsi" w:cstheme="minorHAnsi"/>
        </w:rPr>
        <w:t xml:space="preserve"> and </w:t>
      </w:r>
      <w:hyperlink r:id="rId76">
        <w:r>
          <w:rPr>
            <w:rFonts w:asciiTheme="minorHAnsi" w:eastAsia="Arial" w:hAnsiTheme="minorHAnsi" w:cstheme="minorHAnsi"/>
            <w:b/>
            <w:color w:val="0676C5"/>
          </w:rPr>
          <w:t>12-17 year olds</w:t>
        </w:r>
      </w:hyperlink>
      <w:r>
        <w:rPr>
          <w:rFonts w:asciiTheme="minorHAnsi" w:eastAsia="Arial" w:hAnsiTheme="minorHAnsi" w:cstheme="minorHAnsi"/>
        </w:rPr>
        <w:t xml:space="preserve">. </w:t>
      </w:r>
      <w:hyperlink r:id="rId77">
        <w:r>
          <w:rPr>
            <w:rFonts w:asciiTheme="minorHAnsi" w:eastAsia="Arial" w:hAnsiTheme="minorHAnsi" w:cstheme="minorHAnsi"/>
            <w:color w:val="1155CC"/>
            <w:u w:val="single"/>
          </w:rPr>
          <w:t>https://www.gov.uk/government/publications/young-witness-booklet-for-5-to-11-year-olds</w:t>
        </w:r>
      </w:hyperlink>
    </w:p>
    <w:p>
      <w:pPr>
        <w:shd w:val="clear" w:color="auto" w:fill="FFFFFF"/>
        <w:spacing w:after="0"/>
        <w:rPr>
          <w:rFonts w:asciiTheme="minorHAnsi" w:eastAsia="Arial" w:hAnsiTheme="minorHAnsi" w:cstheme="minorHAnsi"/>
        </w:rPr>
      </w:pPr>
      <w:hyperlink r:id="rId78">
        <w:r>
          <w:rPr>
            <w:rFonts w:asciiTheme="minorHAnsi" w:eastAsia="Arial" w:hAnsiTheme="minorHAnsi" w:cstheme="minorHAnsi"/>
            <w:color w:val="1155CC"/>
            <w:u w:val="single"/>
          </w:rPr>
          <w:t>https://www.gov.uk/government/publications/young-witness-booklet-for-12-to-17-year-olds</w:t>
        </w:r>
      </w:hyperlink>
    </w:p>
    <w:p>
      <w:pPr>
        <w:shd w:val="clear" w:color="auto" w:fill="FFFFFF"/>
        <w:spacing w:after="0"/>
        <w:rPr>
          <w:rFonts w:asciiTheme="minorHAnsi" w:eastAsia="Arial" w:hAnsiTheme="minorHAnsi" w:cstheme="minorHAnsi"/>
        </w:rPr>
      </w:pPr>
      <w:r>
        <w:rPr>
          <w:rFonts w:asciiTheme="minorHAnsi" w:eastAsia="Arial" w:hAnsiTheme="minorHAnsi" w:cstheme="minorHAnsi"/>
        </w:rPr>
        <w:t>Making child arrangements via the family courts following separation can be stressful and entrench conflict in families. This can be stressful for children.</w:t>
      </w:r>
    </w:p>
    <w:p>
      <w:pPr>
        <w:pStyle w:val="Heading1"/>
        <w:rPr>
          <w:sz w:val="28"/>
        </w:rPr>
      </w:pPr>
      <w:bookmarkStart w:id="163" w:name="_Toc172030676"/>
      <w:r>
        <w:rPr>
          <w:sz w:val="28"/>
        </w:rPr>
        <w:t>Children with family members in prison</w:t>
      </w:r>
      <w:bookmarkEnd w:id="163"/>
    </w:p>
    <w:p>
      <w:pPr>
        <w:spacing w:after="0"/>
        <w:rPr>
          <w:rFonts w:asciiTheme="minorHAnsi" w:hAnsiTheme="minorHAnsi" w:cstheme="minorHAnsi"/>
        </w:rPr>
      </w:pPr>
      <w:r>
        <w:rPr>
          <w:rFonts w:asciiTheme="minorHAnsi" w:hAnsiTheme="minorHAnsi" w:cstheme="minorHAnsi"/>
        </w:rPr>
        <w:t xml:space="preserve">Approximately 200,000 children in England and Wales have a parent sent to prison each year. These children are at risk of poor outcomes including poverty, stigma, isolation and poor mental health. The National </w:t>
      </w:r>
      <w:r>
        <w:rPr>
          <w:rFonts w:asciiTheme="minorHAnsi" w:hAnsiTheme="minorHAnsi" w:cstheme="minorHAnsi"/>
        </w:rPr>
        <w:lastRenderedPageBreak/>
        <w:t>Information Centre on Children of Offenders, NICCO, provides information designed to support professionals working with offenders and their children, to help mitigate negative consequences for those children.</w:t>
      </w:r>
    </w:p>
    <w:p>
      <w:pPr>
        <w:spacing w:after="0"/>
        <w:rPr>
          <w:rFonts w:asciiTheme="minorHAnsi" w:hAnsiTheme="minorHAnsi" w:cstheme="minorHAnsi"/>
          <w:highlight w:val="white"/>
        </w:rPr>
      </w:pPr>
      <w:r>
        <w:rPr>
          <w:rFonts w:asciiTheme="minorHAnsi" w:hAnsiTheme="minorHAnsi" w:cstheme="minorHAnsi"/>
          <w:highlight w:val="white"/>
        </w:rPr>
        <w:t xml:space="preserve">If we become aware of a family member being in prison without having had contact with external agencies the DSL will establish contact through taking advice from CRS professionals line advisors. </w:t>
      </w:r>
    </w:p>
    <w:p>
      <w:pPr>
        <w:rPr>
          <w:rFonts w:ascii="Roboto" w:eastAsia="Roboto" w:hAnsi="Roboto" w:cs="Roboto"/>
          <w:color w:val="242424"/>
          <w:sz w:val="20"/>
          <w:szCs w:val="20"/>
          <w:shd w:val="clear" w:color="auto" w:fill="FAFAFA"/>
        </w:rPr>
      </w:pPr>
    </w:p>
    <w:p>
      <w:pPr>
        <w:pStyle w:val="Heading1"/>
        <w:rPr>
          <w:sz w:val="28"/>
        </w:rPr>
      </w:pPr>
      <w:bookmarkStart w:id="164" w:name="_Toc145850459"/>
      <w:bookmarkStart w:id="165" w:name="_Toc172030677"/>
      <w:r>
        <w:rPr>
          <w:rFonts w:hint="eastAsia"/>
          <w:sz w:val="28"/>
        </w:rPr>
        <w:t xml:space="preserve">Private </w:t>
      </w:r>
      <w:r>
        <w:rPr>
          <w:sz w:val="28"/>
        </w:rPr>
        <w:t>F</w:t>
      </w:r>
      <w:r>
        <w:rPr>
          <w:rFonts w:hint="eastAsia"/>
          <w:sz w:val="28"/>
        </w:rPr>
        <w:t>ostering</w:t>
      </w:r>
      <w:bookmarkEnd w:id="164"/>
      <w:bookmarkEnd w:id="165"/>
      <w:r>
        <w:rPr>
          <w:rFonts w:hint="eastAsia"/>
          <w:sz w:val="28"/>
        </w:rPr>
        <w:t xml:space="preserve"> </w:t>
      </w:r>
    </w:p>
    <w:p>
      <w:pPr>
        <w:spacing w:after="0"/>
        <w:rPr>
          <w:lang w:val="en"/>
        </w:rPr>
      </w:pPr>
      <w:r>
        <w:rPr>
          <w:bCs/>
          <w:lang w:val="en"/>
        </w:rPr>
        <w:t>Private fostering is an arrangement by a child’s parents for their child (</w:t>
      </w:r>
      <w:r>
        <w:rPr>
          <w:lang w:val="en"/>
        </w:rPr>
        <w:t xml:space="preserve">under 16 years or under 18 years if disabled) </w:t>
      </w:r>
      <w:r>
        <w:rPr>
          <w:bCs/>
          <w:lang w:val="en"/>
        </w:rPr>
        <w:t xml:space="preserve">to be cared for by another adult who is not closely related and is not a legal guardian with parental responsibility </w:t>
      </w:r>
      <w:r>
        <w:rPr>
          <w:lang w:val="en"/>
        </w:rPr>
        <w:t xml:space="preserve">for 28 days or more. </w:t>
      </w:r>
    </w:p>
    <w:p>
      <w:pPr>
        <w:spacing w:after="0"/>
        <w:rPr>
          <w:lang w:val="en"/>
        </w:rPr>
      </w:pPr>
    </w:p>
    <w:p>
      <w:pPr>
        <w:spacing w:after="0"/>
        <w:rPr>
          <w:lang w:val="en"/>
        </w:rPr>
      </w:pPr>
      <w:r>
        <w:rPr>
          <w:lang w:val="en"/>
        </w:rPr>
        <w:t xml:space="preserve">It is </w:t>
      </w:r>
      <w:r>
        <w:rPr>
          <w:bCs/>
          <w:lang w:val="en"/>
        </w:rPr>
        <w:t xml:space="preserve">not </w:t>
      </w:r>
      <w:r>
        <w:rPr>
          <w:lang w:val="en"/>
        </w:rPr>
        <w:t xml:space="preserve">private fostering if the </w:t>
      </w:r>
      <w:proofErr w:type="spellStart"/>
      <w:r>
        <w:rPr>
          <w:lang w:val="en"/>
        </w:rPr>
        <w:t>carer</w:t>
      </w:r>
      <w:proofErr w:type="spellEnd"/>
      <w:r>
        <w:rPr>
          <w:lang w:val="en"/>
        </w:rPr>
        <w:t xml:space="preserve"> is a close relative to the child such as grandparent, brother, sister, uncle or aunt living in the child’s home. It is not an arrangement made by a social worker.</w:t>
      </w:r>
    </w:p>
    <w:p>
      <w:pPr>
        <w:spacing w:after="0"/>
        <w:rPr>
          <w:lang w:val="en"/>
        </w:rPr>
      </w:pPr>
    </w:p>
    <w:p>
      <w:pPr>
        <w:spacing w:after="0"/>
      </w:pPr>
      <w:r>
        <w:rPr>
          <w:lang w:val="en"/>
        </w:rPr>
        <w:t xml:space="preserve">The law requires that the </w:t>
      </w:r>
      <w:proofErr w:type="spellStart"/>
      <w:r>
        <w:rPr>
          <w:lang w:val="en"/>
        </w:rPr>
        <w:t>carers</w:t>
      </w:r>
      <w:proofErr w:type="spellEnd"/>
      <w:r>
        <w:rPr>
          <w:lang w:val="en"/>
        </w:rPr>
        <w:t xml:space="preserve"> and parents must notify the children’s services department of any private fostering arrangement. </w:t>
      </w:r>
      <w:r>
        <w:rPr>
          <w:rFonts w:cstheme="minorHAnsi"/>
        </w:rPr>
        <w:t xml:space="preserve">If the school becomes aware that a pupil is being privately fostered we will inform the children’s services department and inform both the parents and </w:t>
      </w:r>
      <w:proofErr w:type="spellStart"/>
      <w:r>
        <w:rPr>
          <w:rFonts w:cstheme="minorHAnsi"/>
        </w:rPr>
        <w:t>carers</w:t>
      </w:r>
      <w:proofErr w:type="spellEnd"/>
      <w:r>
        <w:rPr>
          <w:rFonts w:cstheme="minorHAnsi"/>
        </w:rPr>
        <w:t xml:space="preserve"> that we have done so unless there is a reasonable belief that by informing a parent/</w:t>
      </w:r>
      <w:proofErr w:type="spellStart"/>
      <w:r>
        <w:rPr>
          <w:rFonts w:cstheme="minorHAnsi"/>
        </w:rPr>
        <w:t>carer</w:t>
      </w:r>
      <w:proofErr w:type="spellEnd"/>
      <w:r>
        <w:rPr>
          <w:rFonts w:cstheme="minorHAnsi"/>
        </w:rPr>
        <w:t xml:space="preserve"> this may increase the risk of harm to a child. Advice can be gained from the </w:t>
      </w:r>
      <w:r>
        <w:t>Children’s Resource Service</w:t>
      </w:r>
      <w:r>
        <w:rPr>
          <w:rFonts w:cstheme="minorHAnsi"/>
        </w:rPr>
        <w:t xml:space="preserve"> if required.</w:t>
      </w:r>
    </w:p>
    <w:p/>
    <w:p/>
    <w:p/>
    <w:p/>
    <w:p/>
    <w:p/>
    <w:p/>
    <w:p/>
    <w:p/>
    <w:p/>
    <w:p>
      <w:pPr>
        <w:spacing w:after="0"/>
      </w:pPr>
      <w:bookmarkStart w:id="166" w:name="_Toc172030678"/>
    </w:p>
    <w:p>
      <w:pPr>
        <w:pStyle w:val="Heading1"/>
        <w:spacing w:before="0" w:after="0"/>
        <w:rPr>
          <w:sz w:val="40"/>
        </w:rPr>
      </w:pPr>
    </w:p>
    <w:p/>
    <w:p/>
    <w:bookmarkEnd w:id="166"/>
    <w:p>
      <w:pPr>
        <w:rPr>
          <w:b/>
          <w:sz w:val="72"/>
          <w:szCs w:val="72"/>
          <w:lang w:val="en-GB"/>
        </w:rPr>
      </w:pPr>
    </w:p>
    <w:p>
      <w:pPr>
        <w:rPr>
          <w:b/>
          <w:sz w:val="72"/>
          <w:szCs w:val="72"/>
          <w:lang w:val="en-GB"/>
        </w:rPr>
      </w:pPr>
    </w:p>
    <w:p>
      <w:pPr>
        <w:rPr>
          <w:lang w:val="en-GB"/>
        </w:rPr>
      </w:pPr>
    </w:p>
    <w:p>
      <w:pPr>
        <w:pStyle w:val="Subhead2"/>
        <w:rPr>
          <w:rFonts w:asciiTheme="minorHAnsi" w:hAnsiTheme="minorHAnsi" w:cstheme="minorHAnsi"/>
          <w:sz w:val="22"/>
          <w:szCs w:val="22"/>
          <w:lang w:val="en-GB"/>
        </w:rPr>
      </w:pPr>
      <w:r>
        <w:rPr>
          <w:lang w:val="en-GB"/>
        </w:rPr>
        <w:br w:type="page"/>
      </w:r>
      <w:r>
        <w:rPr>
          <w:rFonts w:asciiTheme="minorHAnsi" w:hAnsiTheme="minorHAnsi" w:cstheme="minorHAnsi"/>
          <w:color w:val="auto"/>
          <w:sz w:val="22"/>
          <w:szCs w:val="22"/>
          <w:lang w:val="en-GB"/>
        </w:rPr>
        <w:lastRenderedPageBreak/>
        <w:t>Recruitment and selection process</w:t>
      </w:r>
    </w:p>
    <w:p>
      <w:pPr>
        <w:pStyle w:val="1bodycopy10pt"/>
        <w:spacing w:after="0"/>
        <w:rPr>
          <w:rFonts w:asciiTheme="minorHAnsi" w:eastAsia="Arial" w:hAnsiTheme="minorHAnsi" w:cstheme="minorHAnsi"/>
          <w:bCs/>
          <w:sz w:val="22"/>
          <w:szCs w:val="22"/>
          <w:lang w:val="en-GB"/>
        </w:rPr>
      </w:pPr>
      <w:r>
        <w:rPr>
          <w:rStyle w:val="1bodycopy10ptChar"/>
          <w:rFonts w:asciiTheme="minorHAnsi" w:hAnsiTheme="minorHAnsi" w:cstheme="minorHAnsi"/>
          <w:sz w:val="22"/>
          <w:szCs w:val="22"/>
          <w:lang w:val="en-GB"/>
        </w:rPr>
        <w:t xml:space="preserve">The recruitment steps outlined below are based on part 3 of </w:t>
      </w:r>
      <w:r>
        <w:rPr>
          <w:rFonts w:asciiTheme="minorHAnsi" w:eastAsia="Arial" w:hAnsiTheme="minorHAnsi" w:cstheme="minorHAnsi"/>
          <w:bCs/>
          <w:sz w:val="22"/>
          <w:szCs w:val="22"/>
          <w:lang w:val="en-GB"/>
        </w:rPr>
        <w:t xml:space="preserve">Keeping Children Safe in Education 2025. </w:t>
      </w:r>
    </w:p>
    <w:p>
      <w:pPr>
        <w:spacing w:after="0"/>
        <w:rPr>
          <w:rFonts w:asciiTheme="minorHAnsi" w:hAnsiTheme="minorHAnsi" w:cstheme="minorHAnsi"/>
          <w:lang w:val="en-GB"/>
        </w:rPr>
      </w:pPr>
      <w:r>
        <w:rPr>
          <w:rFonts w:asciiTheme="minorHAnsi" w:hAnsiTheme="minorHAnsi" w:cstheme="minorHAnsi"/>
          <w:lang w:val="en-GB"/>
        </w:rPr>
        <w:t>To make sure we recruit suitable people, we will ensure that those involved in the recruitment and employment of staff to work with children have received appropriate safer recruitment training.</w:t>
      </w:r>
    </w:p>
    <w:p>
      <w:pPr>
        <w:spacing w:after="0"/>
        <w:rPr>
          <w:rFonts w:asciiTheme="minorHAnsi" w:hAnsiTheme="minorHAnsi" w:cstheme="minorHAnsi"/>
          <w:lang w:val="en-GB"/>
        </w:rPr>
      </w:pPr>
      <w:r>
        <w:rPr>
          <w:rFonts w:asciiTheme="minorHAnsi" w:hAnsiTheme="minorHAnsi" w:cstheme="minorHAnsi"/>
          <w:lang w:val="en-GB"/>
        </w:rPr>
        <w:t xml:space="preserve">We have put the following steps in place during our recruitment and selection process to ensure we are committed to safeguarding and promoting the welfare of children. </w:t>
      </w:r>
    </w:p>
    <w:p>
      <w:pPr>
        <w:spacing w:after="0"/>
        <w:rPr>
          <w:rFonts w:asciiTheme="minorHAnsi" w:hAnsiTheme="minorHAnsi" w:cstheme="minorHAnsi"/>
          <w:b/>
          <w:lang w:val="en-GB"/>
        </w:rPr>
      </w:pPr>
    </w:p>
    <w:p>
      <w:pPr>
        <w:spacing w:after="0"/>
        <w:rPr>
          <w:rFonts w:asciiTheme="minorHAnsi" w:hAnsiTheme="minorHAnsi" w:cstheme="minorHAnsi"/>
          <w:b/>
          <w:lang w:val="en-GB"/>
        </w:rPr>
      </w:pPr>
      <w:r>
        <w:rPr>
          <w:rFonts w:asciiTheme="minorHAnsi" w:hAnsiTheme="minorHAnsi" w:cstheme="minorHAnsi"/>
          <w:b/>
          <w:lang w:val="en-GB"/>
        </w:rPr>
        <w:t>Advertising</w:t>
      </w:r>
    </w:p>
    <w:p>
      <w:pPr>
        <w:spacing w:after="0"/>
        <w:rPr>
          <w:rFonts w:asciiTheme="minorHAnsi" w:hAnsiTheme="minorHAnsi" w:cstheme="minorHAnsi"/>
          <w:lang w:val="en-GB"/>
        </w:rPr>
      </w:pPr>
      <w:r>
        <w:rPr>
          <w:rFonts w:asciiTheme="minorHAnsi" w:hAnsiTheme="minorHAnsi" w:cstheme="minorHAnsi"/>
          <w:lang w:val="en-GB"/>
        </w:rPr>
        <w:t>When advertising roles, we will make clear:</w:t>
      </w:r>
    </w:p>
    <w:p>
      <w:pPr>
        <w:pStyle w:val="4Bulletedcopyblue"/>
        <w:numPr>
          <w:ilvl w:val="0"/>
          <w:numId w:val="93"/>
        </w:numPr>
        <w:spacing w:after="0"/>
        <w:rPr>
          <w:rFonts w:asciiTheme="minorHAnsi" w:hAnsiTheme="minorHAnsi" w:cstheme="minorHAnsi"/>
          <w:sz w:val="22"/>
          <w:szCs w:val="22"/>
          <w:lang w:val="en-GB"/>
        </w:rPr>
      </w:pPr>
      <w:r>
        <w:rPr>
          <w:rFonts w:asciiTheme="minorHAnsi" w:hAnsiTheme="minorHAnsi" w:cstheme="minorHAnsi"/>
          <w:sz w:val="22"/>
          <w:szCs w:val="22"/>
          <w:lang w:val="en-GB"/>
        </w:rPr>
        <w:t>Our school’s commitment to safeguarding and promoting the welfare of children</w:t>
      </w:r>
    </w:p>
    <w:p>
      <w:pPr>
        <w:pStyle w:val="4Bulletedcopyblue"/>
        <w:numPr>
          <w:ilvl w:val="0"/>
          <w:numId w:val="93"/>
        </w:numPr>
        <w:spacing w:after="0"/>
        <w:rPr>
          <w:rFonts w:asciiTheme="minorHAnsi" w:hAnsiTheme="minorHAnsi" w:cstheme="minorHAnsi"/>
          <w:sz w:val="22"/>
          <w:szCs w:val="22"/>
          <w:lang w:val="en-GB"/>
        </w:rPr>
      </w:pPr>
      <w:r>
        <w:rPr>
          <w:rFonts w:asciiTheme="minorHAnsi" w:hAnsiTheme="minorHAnsi" w:cstheme="minorHAnsi"/>
          <w:sz w:val="22"/>
          <w:szCs w:val="22"/>
          <w:lang w:val="en-GB"/>
        </w:rPr>
        <w:t>That safeguarding checks will be undertaken</w:t>
      </w:r>
    </w:p>
    <w:p>
      <w:pPr>
        <w:pStyle w:val="4Bulletedcopyblue"/>
        <w:numPr>
          <w:ilvl w:val="0"/>
          <w:numId w:val="93"/>
        </w:numPr>
        <w:spacing w:after="0"/>
        <w:rPr>
          <w:rFonts w:asciiTheme="minorHAnsi" w:hAnsiTheme="minorHAnsi" w:cstheme="minorHAnsi"/>
          <w:sz w:val="22"/>
          <w:szCs w:val="22"/>
          <w:lang w:val="en-GB"/>
        </w:rPr>
      </w:pPr>
      <w:r>
        <w:rPr>
          <w:rFonts w:asciiTheme="minorHAnsi" w:hAnsiTheme="minorHAnsi" w:cstheme="minorHAnsi"/>
          <w:sz w:val="22"/>
          <w:szCs w:val="22"/>
          <w:lang w:val="en-GB"/>
        </w:rPr>
        <w:t>The safeguarding requirements and responsibilities of the role, such as the extent to which the role will involve contact with children</w:t>
      </w:r>
    </w:p>
    <w:p>
      <w:pPr>
        <w:pStyle w:val="4Bulletedcopyblue"/>
        <w:numPr>
          <w:ilvl w:val="0"/>
          <w:numId w:val="93"/>
        </w:numPr>
        <w:spacing w:after="0"/>
        <w:rPr>
          <w:rFonts w:asciiTheme="minorHAnsi" w:hAnsiTheme="minorHAnsi" w:cstheme="minorHAnsi"/>
          <w:sz w:val="22"/>
          <w:szCs w:val="22"/>
          <w:lang w:val="en-GB"/>
        </w:rPr>
      </w:pPr>
      <w:r>
        <w:rPr>
          <w:rFonts w:asciiTheme="minorHAnsi" w:hAnsiTheme="minorHAnsi" w:cstheme="minorHAnsi"/>
          <w:sz w:val="22"/>
          <w:szCs w:val="22"/>
          <w:lang w:val="en-GB"/>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pPr>
        <w:pStyle w:val="1bodycopy10pt"/>
        <w:spacing w:after="0"/>
        <w:rPr>
          <w:rFonts w:asciiTheme="minorHAnsi" w:hAnsiTheme="minorHAnsi" w:cstheme="minorHAnsi"/>
          <w:b/>
          <w:sz w:val="22"/>
          <w:szCs w:val="22"/>
          <w:lang w:val="en-GB"/>
        </w:rPr>
      </w:pPr>
    </w:p>
    <w:p>
      <w:pPr>
        <w:pStyle w:val="1bodycopy10pt"/>
        <w:spacing w:after="0"/>
        <w:rPr>
          <w:rFonts w:asciiTheme="minorHAnsi" w:hAnsiTheme="minorHAnsi" w:cstheme="minorHAnsi"/>
          <w:b/>
          <w:sz w:val="22"/>
          <w:szCs w:val="22"/>
          <w:lang w:val="en-GB"/>
        </w:rPr>
      </w:pPr>
      <w:r>
        <w:rPr>
          <w:rFonts w:asciiTheme="minorHAnsi" w:hAnsiTheme="minorHAnsi" w:cstheme="minorHAnsi"/>
          <w:b/>
          <w:sz w:val="22"/>
          <w:szCs w:val="22"/>
          <w:lang w:val="en-GB"/>
        </w:rPr>
        <w:t>Application forms</w:t>
      </w:r>
    </w:p>
    <w:p>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t>Our application forms will:</w:t>
      </w:r>
    </w:p>
    <w:p>
      <w:pPr>
        <w:pStyle w:val="4Bulletedcopyblue"/>
        <w:numPr>
          <w:ilvl w:val="0"/>
          <w:numId w:val="94"/>
        </w:numPr>
        <w:spacing w:after="0"/>
        <w:rPr>
          <w:rFonts w:asciiTheme="minorHAnsi" w:hAnsiTheme="minorHAnsi" w:cstheme="minorHAnsi"/>
          <w:sz w:val="22"/>
          <w:szCs w:val="22"/>
          <w:lang w:val="en-GB"/>
        </w:rPr>
      </w:pPr>
      <w:r>
        <w:rPr>
          <w:rFonts w:asciiTheme="minorHAnsi" w:hAnsiTheme="minorHAnsi" w:cstheme="minorHAnsi"/>
          <w:sz w:val="22"/>
          <w:szCs w:val="22"/>
          <w:lang w:val="en-GB"/>
        </w:rPr>
        <w:t>Include a statement saying that it is an offence to apply for the role if an applicant is barred from engaging in regulated activity relevant to children (where the role involves this type of regulated activity)</w:t>
      </w:r>
    </w:p>
    <w:p>
      <w:pPr>
        <w:pStyle w:val="4Bulletedcopyblue"/>
        <w:numPr>
          <w:ilvl w:val="0"/>
          <w:numId w:val="94"/>
        </w:numPr>
        <w:spacing w:after="0"/>
        <w:rPr>
          <w:rFonts w:asciiTheme="minorHAnsi" w:hAnsiTheme="minorHAnsi" w:cstheme="minorHAnsi"/>
          <w:sz w:val="22"/>
          <w:szCs w:val="22"/>
          <w:lang w:val="en-GB"/>
        </w:rPr>
      </w:pPr>
      <w:r>
        <w:rPr>
          <w:rFonts w:asciiTheme="minorHAnsi" w:hAnsiTheme="minorHAnsi" w:cstheme="minorHAnsi"/>
          <w:sz w:val="22"/>
          <w:szCs w:val="22"/>
          <w:lang w:val="en-GB"/>
        </w:rPr>
        <w:t>Include a copy of, or link to, our child protection and safeguarding policy and our policy on the employment of ex-offenders</w:t>
      </w:r>
    </w:p>
    <w:p>
      <w:pPr>
        <w:pStyle w:val="1bodycopy10pt"/>
        <w:spacing w:after="0"/>
        <w:rPr>
          <w:rFonts w:asciiTheme="minorHAnsi" w:hAnsiTheme="minorHAnsi" w:cstheme="minorHAnsi"/>
          <w:b/>
          <w:sz w:val="22"/>
          <w:szCs w:val="22"/>
          <w:lang w:val="en-GB"/>
        </w:rPr>
      </w:pPr>
    </w:p>
    <w:p>
      <w:pPr>
        <w:pStyle w:val="1bodycopy10pt"/>
        <w:spacing w:after="0"/>
        <w:rPr>
          <w:rFonts w:asciiTheme="minorHAnsi" w:hAnsiTheme="minorHAnsi" w:cstheme="minorHAnsi"/>
          <w:b/>
          <w:sz w:val="22"/>
          <w:szCs w:val="22"/>
          <w:lang w:val="en-GB"/>
        </w:rPr>
      </w:pPr>
      <w:r>
        <w:rPr>
          <w:rFonts w:asciiTheme="minorHAnsi" w:hAnsiTheme="minorHAnsi" w:cstheme="minorHAnsi"/>
          <w:b/>
          <w:sz w:val="22"/>
          <w:szCs w:val="22"/>
          <w:lang w:val="en-GB"/>
        </w:rPr>
        <w:t>Shortlisting</w:t>
      </w:r>
    </w:p>
    <w:p>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t>Our shortlisting process will involve at least 2 people and will:</w:t>
      </w:r>
    </w:p>
    <w:p>
      <w:pPr>
        <w:pStyle w:val="4Bulletedcopyblue"/>
        <w:numPr>
          <w:ilvl w:val="0"/>
          <w:numId w:val="95"/>
        </w:numPr>
        <w:spacing w:after="0"/>
        <w:rPr>
          <w:rFonts w:asciiTheme="minorHAnsi" w:hAnsiTheme="minorHAnsi" w:cstheme="minorHAnsi"/>
          <w:sz w:val="22"/>
          <w:szCs w:val="22"/>
          <w:lang w:val="en-GB"/>
        </w:rPr>
      </w:pPr>
      <w:r>
        <w:rPr>
          <w:rFonts w:asciiTheme="minorHAnsi" w:hAnsiTheme="minorHAnsi" w:cstheme="minorHAnsi"/>
          <w:sz w:val="22"/>
          <w:szCs w:val="22"/>
          <w:lang w:val="en-GB"/>
        </w:rPr>
        <w:t>Consider any inconsistencies and look for gaps in employment and reasons given for them</w:t>
      </w:r>
    </w:p>
    <w:p>
      <w:pPr>
        <w:pStyle w:val="4Bulletedcopyblue"/>
        <w:numPr>
          <w:ilvl w:val="0"/>
          <w:numId w:val="95"/>
        </w:numPr>
        <w:spacing w:after="0"/>
        <w:rPr>
          <w:rFonts w:asciiTheme="minorHAnsi" w:hAnsiTheme="minorHAnsi" w:cstheme="minorHAnsi"/>
          <w:sz w:val="22"/>
          <w:szCs w:val="22"/>
          <w:lang w:val="en-GB"/>
        </w:rPr>
      </w:pPr>
      <w:r>
        <w:rPr>
          <w:rFonts w:asciiTheme="minorHAnsi" w:hAnsiTheme="minorHAnsi" w:cstheme="minorHAnsi"/>
          <w:sz w:val="22"/>
          <w:szCs w:val="22"/>
          <w:lang w:val="en-GB"/>
        </w:rPr>
        <w:t>Explore all potential concerns</w:t>
      </w:r>
    </w:p>
    <w:p>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t>Once we have shortlisted candidates, we will ask shortlisted candidates to:</w:t>
      </w:r>
    </w:p>
    <w:p>
      <w:pPr>
        <w:pStyle w:val="4Bulletedcopyblue"/>
        <w:numPr>
          <w:ilvl w:val="0"/>
          <w:numId w:val="96"/>
        </w:numPr>
        <w:spacing w:after="0"/>
        <w:rPr>
          <w:rFonts w:asciiTheme="minorHAnsi" w:hAnsiTheme="minorHAnsi" w:cstheme="minorHAnsi"/>
          <w:sz w:val="22"/>
          <w:szCs w:val="22"/>
          <w:lang w:val="en-GB"/>
        </w:rPr>
      </w:pPr>
      <w:r>
        <w:rPr>
          <w:rFonts w:asciiTheme="minorHAnsi" w:hAnsiTheme="minorHAnsi" w:cstheme="minorHAnsi"/>
          <w:sz w:val="22"/>
          <w:szCs w:val="22"/>
          <w:lang w:val="en-GB"/>
        </w:rPr>
        <w:t>Complete a self-declaration of their criminal record or any information that would make them unsuitable to work with children, so that they have the opportunity to share relevant information and discuss it at interview stage. The information we will ask for includes:</w:t>
      </w:r>
    </w:p>
    <w:p>
      <w:pPr>
        <w:pStyle w:val="4Bulletedcopyblue"/>
        <w:numPr>
          <w:ilvl w:val="1"/>
          <w:numId w:val="69"/>
        </w:numPr>
        <w:spacing w:after="0"/>
        <w:ind w:left="1270"/>
        <w:rPr>
          <w:rFonts w:asciiTheme="minorHAnsi" w:hAnsiTheme="minorHAnsi" w:cstheme="minorHAnsi"/>
          <w:sz w:val="22"/>
          <w:szCs w:val="22"/>
          <w:lang w:val="en-GB"/>
        </w:rPr>
      </w:pPr>
      <w:r>
        <w:rPr>
          <w:rFonts w:asciiTheme="minorHAnsi" w:hAnsiTheme="minorHAnsi" w:cstheme="minorHAnsi"/>
          <w:sz w:val="22"/>
          <w:szCs w:val="22"/>
          <w:lang w:val="en-GB"/>
        </w:rPr>
        <w:t>If they have a criminal history</w:t>
      </w:r>
    </w:p>
    <w:p>
      <w:pPr>
        <w:pStyle w:val="4Bulletedcopyblue"/>
        <w:numPr>
          <w:ilvl w:val="1"/>
          <w:numId w:val="69"/>
        </w:numPr>
        <w:spacing w:after="0"/>
        <w:ind w:left="1270"/>
        <w:rPr>
          <w:rFonts w:asciiTheme="minorHAnsi" w:hAnsiTheme="minorHAnsi" w:cstheme="minorHAnsi"/>
          <w:sz w:val="22"/>
          <w:szCs w:val="22"/>
          <w:lang w:val="en-GB"/>
        </w:rPr>
      </w:pPr>
      <w:r>
        <w:rPr>
          <w:rFonts w:asciiTheme="minorHAnsi" w:hAnsiTheme="minorHAnsi" w:cstheme="minorHAnsi"/>
          <w:sz w:val="22"/>
          <w:szCs w:val="22"/>
          <w:lang w:val="en-GB"/>
        </w:rPr>
        <w:t>Whether they are included on the barred list</w:t>
      </w:r>
    </w:p>
    <w:p>
      <w:pPr>
        <w:pStyle w:val="4Bulletedcopyblue"/>
        <w:numPr>
          <w:ilvl w:val="1"/>
          <w:numId w:val="69"/>
        </w:numPr>
        <w:spacing w:after="0"/>
        <w:ind w:left="1270"/>
        <w:rPr>
          <w:rFonts w:asciiTheme="minorHAnsi" w:hAnsiTheme="minorHAnsi" w:cstheme="minorHAnsi"/>
          <w:sz w:val="22"/>
          <w:szCs w:val="22"/>
          <w:lang w:val="en-GB"/>
        </w:rPr>
      </w:pPr>
      <w:r>
        <w:rPr>
          <w:rFonts w:asciiTheme="minorHAnsi" w:hAnsiTheme="minorHAnsi" w:cstheme="minorHAnsi"/>
          <w:sz w:val="22"/>
          <w:szCs w:val="22"/>
          <w:lang w:val="en-GB"/>
        </w:rPr>
        <w:t>Whether they are prohibited from teaching</w:t>
      </w:r>
    </w:p>
    <w:p>
      <w:pPr>
        <w:pStyle w:val="4Bulletedcopyblue"/>
        <w:numPr>
          <w:ilvl w:val="1"/>
          <w:numId w:val="69"/>
        </w:numPr>
        <w:spacing w:after="0"/>
        <w:ind w:left="1270"/>
        <w:rPr>
          <w:rFonts w:asciiTheme="minorHAnsi" w:hAnsiTheme="minorHAnsi" w:cstheme="minorHAnsi"/>
          <w:sz w:val="22"/>
          <w:szCs w:val="22"/>
          <w:lang w:val="en-GB"/>
        </w:rPr>
      </w:pPr>
      <w:r>
        <w:rPr>
          <w:rFonts w:asciiTheme="minorHAnsi" w:hAnsiTheme="minorHAnsi" w:cstheme="minorHAnsi"/>
          <w:sz w:val="22"/>
          <w:szCs w:val="22"/>
          <w:lang w:val="en-GB"/>
        </w:rPr>
        <w:t>Information about any criminal offences committed in any country in line with the law as applicable in England and Wales</w:t>
      </w:r>
    </w:p>
    <w:p>
      <w:pPr>
        <w:pStyle w:val="4Bulletedcopyblue"/>
        <w:numPr>
          <w:ilvl w:val="1"/>
          <w:numId w:val="69"/>
        </w:numPr>
        <w:spacing w:after="0"/>
        <w:ind w:left="1270"/>
        <w:rPr>
          <w:rFonts w:asciiTheme="minorHAnsi" w:hAnsiTheme="minorHAnsi" w:cstheme="minorHAnsi"/>
          <w:sz w:val="22"/>
          <w:szCs w:val="22"/>
          <w:lang w:val="en-GB"/>
        </w:rPr>
      </w:pPr>
      <w:r>
        <w:rPr>
          <w:rFonts w:asciiTheme="minorHAnsi" w:hAnsiTheme="minorHAnsi" w:cstheme="minorHAnsi"/>
          <w:sz w:val="22"/>
          <w:szCs w:val="22"/>
          <w:lang w:val="en-GB"/>
        </w:rPr>
        <w:t xml:space="preserve">Any relevant overseas information </w:t>
      </w:r>
    </w:p>
    <w:p>
      <w:pPr>
        <w:pStyle w:val="4Bulletedcopyblue"/>
        <w:numPr>
          <w:ilvl w:val="0"/>
          <w:numId w:val="69"/>
        </w:numPr>
        <w:spacing w:after="0"/>
        <w:ind w:left="426" w:firstLine="0"/>
        <w:rPr>
          <w:rFonts w:asciiTheme="minorHAnsi" w:hAnsiTheme="minorHAnsi" w:cstheme="minorHAnsi"/>
          <w:sz w:val="22"/>
          <w:szCs w:val="22"/>
          <w:lang w:val="en-GB"/>
        </w:rPr>
      </w:pPr>
      <w:r>
        <w:rPr>
          <w:rFonts w:asciiTheme="minorHAnsi" w:hAnsiTheme="minorHAnsi" w:cstheme="minorHAnsi"/>
          <w:sz w:val="22"/>
          <w:szCs w:val="22"/>
          <w:lang w:val="en-GB"/>
        </w:rPr>
        <w:t>Sign a declaration confirming the information they have provided is true</w:t>
      </w:r>
    </w:p>
    <w:p>
      <w:pPr>
        <w:pStyle w:val="4Bulletedcopyblue"/>
        <w:spacing w:after="0"/>
        <w:rPr>
          <w:rFonts w:asciiTheme="minorHAnsi" w:hAnsiTheme="minorHAnsi" w:cstheme="minorHAnsi"/>
          <w:sz w:val="22"/>
          <w:szCs w:val="22"/>
          <w:lang w:val="en-GB"/>
        </w:rPr>
      </w:pPr>
    </w:p>
    <w:p>
      <w:pPr>
        <w:pStyle w:val="4Bulletedcopyblue"/>
        <w:spacing w:after="0"/>
        <w:rPr>
          <w:rFonts w:asciiTheme="minorHAnsi" w:hAnsiTheme="minorHAnsi" w:cstheme="minorHAnsi"/>
          <w:sz w:val="22"/>
          <w:szCs w:val="22"/>
          <w:lang w:val="en-GB"/>
        </w:rPr>
      </w:pPr>
      <w:r>
        <w:rPr>
          <w:rFonts w:asciiTheme="minorHAnsi" w:hAnsiTheme="minorHAnsi" w:cstheme="minorHAnsi"/>
          <w:sz w:val="22"/>
          <w:szCs w:val="22"/>
          <w:lang w:val="en-GB"/>
        </w:rPr>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pPr>
        <w:pStyle w:val="4Bulletedcopyblue"/>
        <w:spacing w:after="0"/>
        <w:rPr>
          <w:rFonts w:asciiTheme="minorHAnsi" w:hAnsiTheme="minorHAnsi" w:cstheme="minorHAnsi"/>
          <w:sz w:val="22"/>
          <w:szCs w:val="22"/>
          <w:lang w:val="en-GB"/>
        </w:rPr>
      </w:pPr>
    </w:p>
    <w:p>
      <w:pPr>
        <w:pStyle w:val="1bodycopy10pt"/>
        <w:spacing w:after="0"/>
        <w:rPr>
          <w:rFonts w:asciiTheme="minorHAnsi" w:hAnsiTheme="minorHAnsi" w:cstheme="minorHAnsi"/>
          <w:b/>
          <w:sz w:val="22"/>
          <w:szCs w:val="22"/>
          <w:lang w:val="en-GB"/>
        </w:rPr>
      </w:pPr>
      <w:r>
        <w:rPr>
          <w:rFonts w:asciiTheme="minorHAnsi" w:hAnsiTheme="minorHAnsi" w:cstheme="minorHAnsi"/>
          <w:b/>
          <w:sz w:val="22"/>
          <w:szCs w:val="22"/>
          <w:lang w:val="en-GB"/>
        </w:rPr>
        <w:t>Seeking references and checking employment history</w:t>
      </w:r>
    </w:p>
    <w:p>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We will obtain references before interview. Any concerns raised will be explored further with referees and taken up with the candidate at interview.  </w:t>
      </w:r>
    </w:p>
    <w:p>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t>When seeking references we will:</w:t>
      </w:r>
    </w:p>
    <w:p>
      <w:pPr>
        <w:pStyle w:val="4Bulletedcopyblue"/>
        <w:numPr>
          <w:ilvl w:val="3"/>
          <w:numId w:val="69"/>
        </w:numPr>
        <w:spacing w:after="0"/>
        <w:ind w:left="709" w:hanging="283"/>
        <w:rPr>
          <w:rFonts w:asciiTheme="minorHAnsi" w:hAnsiTheme="minorHAnsi" w:cstheme="minorHAnsi"/>
          <w:sz w:val="22"/>
          <w:szCs w:val="22"/>
          <w:lang w:val="en-GB"/>
        </w:rPr>
      </w:pPr>
      <w:r>
        <w:rPr>
          <w:rFonts w:asciiTheme="minorHAnsi" w:hAnsiTheme="minorHAnsi" w:cstheme="minorHAnsi"/>
          <w:sz w:val="22"/>
          <w:szCs w:val="22"/>
          <w:lang w:val="en-GB"/>
        </w:rPr>
        <w:t xml:space="preserve">Not accept open references </w:t>
      </w:r>
    </w:p>
    <w:p>
      <w:pPr>
        <w:pStyle w:val="4Bulletedcopyblue"/>
        <w:numPr>
          <w:ilvl w:val="3"/>
          <w:numId w:val="69"/>
        </w:numPr>
        <w:spacing w:after="0"/>
        <w:ind w:left="709" w:hanging="283"/>
        <w:rPr>
          <w:rFonts w:asciiTheme="minorHAnsi" w:hAnsiTheme="minorHAnsi" w:cstheme="minorHAnsi"/>
          <w:sz w:val="22"/>
          <w:szCs w:val="22"/>
          <w:lang w:val="en-GB"/>
        </w:rPr>
      </w:pPr>
      <w:r>
        <w:rPr>
          <w:rFonts w:asciiTheme="minorHAnsi" w:hAnsiTheme="minorHAnsi" w:cstheme="minorHAnsi"/>
          <w:sz w:val="22"/>
          <w:szCs w:val="22"/>
          <w:lang w:val="en-GB"/>
        </w:rPr>
        <w:t>Liaise directly with referees and verify any information contained within references with the referees</w:t>
      </w:r>
    </w:p>
    <w:p>
      <w:pPr>
        <w:pStyle w:val="4Bulletedcopyblue"/>
        <w:numPr>
          <w:ilvl w:val="3"/>
          <w:numId w:val="69"/>
        </w:numPr>
        <w:spacing w:after="0"/>
        <w:ind w:left="709" w:hanging="283"/>
        <w:rPr>
          <w:rFonts w:asciiTheme="minorHAnsi" w:hAnsiTheme="minorHAnsi" w:cstheme="minorHAnsi"/>
          <w:sz w:val="22"/>
          <w:szCs w:val="22"/>
          <w:lang w:val="en-GB"/>
        </w:rPr>
      </w:pPr>
      <w:r>
        <w:rPr>
          <w:rFonts w:asciiTheme="minorHAnsi" w:hAnsiTheme="minorHAnsi" w:cstheme="minorHAnsi"/>
          <w:sz w:val="22"/>
          <w:szCs w:val="22"/>
          <w:lang w:val="en-GB"/>
        </w:rPr>
        <w:lastRenderedPageBreak/>
        <w:t>Ensure any references are from the candidate’s current employer and completed by a senior person. Where the referee is school based, we will ask for the reference to be confirmed by the headteacher/principal as accurate in respect to disciplinary investigations</w:t>
      </w:r>
    </w:p>
    <w:p>
      <w:pPr>
        <w:pStyle w:val="4Bulletedcopyblue"/>
        <w:numPr>
          <w:ilvl w:val="3"/>
          <w:numId w:val="69"/>
        </w:numPr>
        <w:spacing w:after="0"/>
        <w:ind w:left="709" w:hanging="283"/>
        <w:rPr>
          <w:rFonts w:asciiTheme="minorHAnsi" w:hAnsiTheme="minorHAnsi" w:cstheme="minorHAnsi"/>
          <w:sz w:val="22"/>
          <w:szCs w:val="22"/>
          <w:lang w:val="en-GB"/>
        </w:rPr>
      </w:pPr>
      <w:r>
        <w:rPr>
          <w:rFonts w:asciiTheme="minorHAnsi" w:hAnsiTheme="minorHAnsi" w:cstheme="minorHAnsi"/>
          <w:sz w:val="22"/>
          <w:szCs w:val="22"/>
          <w:lang w:val="en-GB"/>
        </w:rPr>
        <w:t>Obtain verification of the candidate’s most recent relevant period of employment if they are not currently employed</w:t>
      </w:r>
    </w:p>
    <w:p>
      <w:pPr>
        <w:pStyle w:val="4Bulletedcopyblue"/>
        <w:numPr>
          <w:ilvl w:val="3"/>
          <w:numId w:val="69"/>
        </w:numPr>
        <w:spacing w:after="0"/>
        <w:ind w:left="709" w:hanging="283"/>
        <w:rPr>
          <w:rFonts w:asciiTheme="minorHAnsi" w:hAnsiTheme="minorHAnsi" w:cstheme="minorHAnsi"/>
          <w:sz w:val="22"/>
          <w:szCs w:val="22"/>
          <w:lang w:val="en-GB"/>
        </w:rPr>
      </w:pPr>
      <w:r>
        <w:rPr>
          <w:rFonts w:asciiTheme="minorHAnsi" w:hAnsiTheme="minorHAnsi" w:cstheme="minorHAnsi"/>
          <w:sz w:val="22"/>
          <w:szCs w:val="22"/>
          <w:lang w:val="en-GB"/>
        </w:rPr>
        <w:t>Secure a reference from the relevant employer from the last time the candidate worked with children if they are not currently working with children</w:t>
      </w:r>
    </w:p>
    <w:p>
      <w:pPr>
        <w:pStyle w:val="4Bulletedcopyblue"/>
        <w:numPr>
          <w:ilvl w:val="3"/>
          <w:numId w:val="69"/>
        </w:numPr>
        <w:spacing w:after="0"/>
        <w:ind w:left="709" w:hanging="283"/>
        <w:rPr>
          <w:rFonts w:asciiTheme="minorHAnsi" w:hAnsiTheme="minorHAnsi" w:cstheme="minorHAnsi"/>
          <w:sz w:val="22"/>
          <w:szCs w:val="22"/>
          <w:lang w:val="en-GB"/>
        </w:rPr>
      </w:pPr>
      <w:r>
        <w:rPr>
          <w:rFonts w:asciiTheme="minorHAnsi" w:hAnsiTheme="minorHAnsi" w:cstheme="minorHAnsi"/>
          <w:sz w:val="22"/>
          <w:szCs w:val="22"/>
          <w:lang w:val="en-GB"/>
        </w:rPr>
        <w:t>Compare the information on the application form with that in the reference and take up any inconsistencies with the candidate</w:t>
      </w:r>
    </w:p>
    <w:p>
      <w:pPr>
        <w:pStyle w:val="4Bulletedcopyblue"/>
        <w:numPr>
          <w:ilvl w:val="3"/>
          <w:numId w:val="69"/>
        </w:numPr>
        <w:spacing w:after="0"/>
        <w:ind w:left="709" w:hanging="283"/>
        <w:rPr>
          <w:rFonts w:asciiTheme="minorHAnsi" w:hAnsiTheme="minorHAnsi" w:cstheme="minorHAnsi"/>
          <w:sz w:val="22"/>
          <w:szCs w:val="22"/>
          <w:lang w:val="en-GB"/>
        </w:rPr>
      </w:pPr>
      <w:r>
        <w:rPr>
          <w:rFonts w:asciiTheme="minorHAnsi" w:hAnsiTheme="minorHAnsi" w:cstheme="minorHAnsi"/>
          <w:sz w:val="22"/>
          <w:szCs w:val="22"/>
          <w:lang w:val="en-GB"/>
        </w:rPr>
        <w:t xml:space="preserve">Resolve any concerns before any appointment is confirmed  </w:t>
      </w:r>
    </w:p>
    <w:p>
      <w:pPr>
        <w:pStyle w:val="1bodycopy10pt"/>
        <w:spacing w:after="0"/>
        <w:rPr>
          <w:rFonts w:asciiTheme="minorHAnsi" w:hAnsiTheme="minorHAnsi" w:cstheme="minorHAnsi"/>
          <w:b/>
          <w:sz w:val="22"/>
          <w:szCs w:val="22"/>
          <w:lang w:val="en-GB"/>
        </w:rPr>
      </w:pPr>
    </w:p>
    <w:p>
      <w:pPr>
        <w:pStyle w:val="1bodycopy10pt"/>
        <w:spacing w:after="0"/>
        <w:rPr>
          <w:rFonts w:asciiTheme="minorHAnsi" w:hAnsiTheme="minorHAnsi" w:cstheme="minorHAnsi"/>
          <w:b/>
          <w:sz w:val="22"/>
          <w:szCs w:val="22"/>
          <w:lang w:val="en-GB"/>
        </w:rPr>
      </w:pPr>
      <w:r>
        <w:rPr>
          <w:rFonts w:asciiTheme="minorHAnsi" w:hAnsiTheme="minorHAnsi" w:cstheme="minorHAnsi"/>
          <w:b/>
          <w:sz w:val="22"/>
          <w:szCs w:val="22"/>
          <w:lang w:val="en-GB"/>
        </w:rPr>
        <w:t>Interview and selection</w:t>
      </w:r>
    </w:p>
    <w:p>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When interviewing candidates, we will: </w:t>
      </w:r>
    </w:p>
    <w:p>
      <w:pPr>
        <w:pStyle w:val="4Bulletedcopyblue"/>
        <w:numPr>
          <w:ilvl w:val="0"/>
          <w:numId w:val="97"/>
        </w:numPr>
        <w:spacing w:after="0"/>
        <w:ind w:hanging="294"/>
        <w:rPr>
          <w:rFonts w:asciiTheme="minorHAnsi" w:hAnsiTheme="minorHAnsi" w:cstheme="minorHAnsi"/>
          <w:sz w:val="22"/>
          <w:szCs w:val="22"/>
          <w:lang w:val="en-GB"/>
        </w:rPr>
      </w:pPr>
      <w:r>
        <w:rPr>
          <w:rFonts w:asciiTheme="minorHAnsi" w:hAnsiTheme="minorHAnsi" w:cstheme="minorHAnsi"/>
          <w:sz w:val="22"/>
          <w:szCs w:val="22"/>
          <w:lang w:val="en-GB"/>
        </w:rPr>
        <w:t>Probe any gaps in employment, or where the candidate has changed employment or location frequently, and ask candidates to explain this</w:t>
      </w:r>
    </w:p>
    <w:p>
      <w:pPr>
        <w:pStyle w:val="4Bulletedcopyblue"/>
        <w:numPr>
          <w:ilvl w:val="0"/>
          <w:numId w:val="97"/>
        </w:numPr>
        <w:spacing w:after="0"/>
        <w:ind w:hanging="294"/>
        <w:rPr>
          <w:rFonts w:asciiTheme="minorHAnsi" w:hAnsiTheme="minorHAnsi" w:cstheme="minorHAnsi"/>
          <w:sz w:val="22"/>
          <w:szCs w:val="22"/>
          <w:lang w:val="en-GB"/>
        </w:rPr>
      </w:pPr>
      <w:r>
        <w:rPr>
          <w:rFonts w:asciiTheme="minorHAnsi" w:hAnsiTheme="minorHAnsi" w:cstheme="minorHAnsi"/>
          <w:sz w:val="22"/>
          <w:szCs w:val="22"/>
          <w:lang w:val="en-GB"/>
        </w:rPr>
        <w:t>Explore any potential areas of concern to determine the candidate’s suitability to work with children</w:t>
      </w:r>
    </w:p>
    <w:p>
      <w:pPr>
        <w:pStyle w:val="4Bulletedcopyblue"/>
        <w:numPr>
          <w:ilvl w:val="0"/>
          <w:numId w:val="97"/>
        </w:numPr>
        <w:spacing w:after="0"/>
        <w:ind w:hanging="294"/>
        <w:rPr>
          <w:rFonts w:asciiTheme="minorHAnsi" w:hAnsiTheme="minorHAnsi" w:cstheme="minorHAnsi"/>
          <w:sz w:val="22"/>
          <w:szCs w:val="22"/>
          <w:lang w:val="en-GB"/>
        </w:rPr>
      </w:pPr>
      <w:r>
        <w:rPr>
          <w:rFonts w:asciiTheme="minorHAnsi" w:hAnsiTheme="minorHAnsi" w:cstheme="minorHAnsi"/>
          <w:sz w:val="22"/>
          <w:szCs w:val="22"/>
          <w:lang w:val="en-GB"/>
        </w:rPr>
        <w:t>Record all information considered and decisions made</w:t>
      </w:r>
    </w:p>
    <w:p>
      <w:pPr>
        <w:pStyle w:val="1bodycopy10pt"/>
        <w:rPr>
          <w:lang w:val="en-GB"/>
        </w:rPr>
      </w:pPr>
    </w:p>
    <w:p>
      <w:pPr>
        <w:pStyle w:val="Subhead2"/>
        <w:spacing w:before="0" w:after="0"/>
        <w:rPr>
          <w:rFonts w:asciiTheme="minorHAnsi" w:hAnsiTheme="minorHAnsi" w:cstheme="minorHAnsi"/>
          <w:color w:val="auto"/>
          <w:sz w:val="22"/>
          <w:szCs w:val="22"/>
          <w:lang w:val="en-GB"/>
        </w:rPr>
      </w:pPr>
      <w:r>
        <w:rPr>
          <w:rFonts w:asciiTheme="minorHAnsi" w:hAnsiTheme="minorHAnsi" w:cstheme="minorHAnsi"/>
          <w:color w:val="auto"/>
          <w:sz w:val="22"/>
          <w:szCs w:val="22"/>
          <w:lang w:val="en-GB"/>
        </w:rPr>
        <w:t>Pre-appointment vetting checks</w:t>
      </w:r>
    </w:p>
    <w:p>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pPr>
        <w:pStyle w:val="1bodycopy10pt"/>
        <w:spacing w:after="0"/>
        <w:rPr>
          <w:rFonts w:asciiTheme="minorHAnsi" w:hAnsiTheme="minorHAnsi" w:cstheme="minorHAnsi"/>
          <w:b/>
          <w:sz w:val="22"/>
          <w:szCs w:val="22"/>
          <w:lang w:val="en-GB"/>
        </w:rPr>
      </w:pPr>
    </w:p>
    <w:p>
      <w:pPr>
        <w:pStyle w:val="1bodycopy10pt"/>
        <w:spacing w:after="0"/>
        <w:rPr>
          <w:rFonts w:asciiTheme="minorHAnsi" w:hAnsiTheme="minorHAnsi" w:cstheme="minorHAnsi"/>
          <w:b/>
          <w:sz w:val="22"/>
          <w:szCs w:val="22"/>
          <w:lang w:val="en-GB"/>
        </w:rPr>
      </w:pPr>
      <w:r>
        <w:rPr>
          <w:rFonts w:asciiTheme="minorHAnsi" w:hAnsiTheme="minorHAnsi" w:cstheme="minorHAnsi"/>
          <w:b/>
          <w:sz w:val="22"/>
          <w:szCs w:val="22"/>
          <w:lang w:val="en-GB"/>
        </w:rPr>
        <w:t>New staff</w:t>
      </w:r>
    </w:p>
    <w:p>
      <w:pPr>
        <w:spacing w:after="0" w:line="240" w:lineRule="auto"/>
        <w:rPr>
          <w:rFonts w:asciiTheme="minorHAnsi" w:hAnsiTheme="minorHAnsi" w:cstheme="minorHAnsi"/>
          <w:lang w:val="en-GB"/>
        </w:rPr>
      </w:pPr>
      <w:r>
        <w:rPr>
          <w:rFonts w:asciiTheme="minorHAnsi" w:hAnsiTheme="minorHAnsi" w:cstheme="minorHAnsi"/>
          <w:lang w:val="en-GB"/>
        </w:rPr>
        <w:t>All offers of appointment will be conditional until satisfactory completion of the necessary pre-employment checks. When appointing new staff, we will:</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 xml:space="preserve">Verify their identity </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Obtain a separate barred list check if they will start work in regulated activity before the DBS certificate is available</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Verify their mental and physical fitness to carry out their work responsibilities</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 xml:space="preserve">Verify their right to work in the UK. We will keep a copy of this verification for the duration of the member of staff’s employment and for 2 years afterwards </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Verify their professional qualifications, as appropriate</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Ensure they are not subject to a prohibition order if they are employed to be a teacher</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 xml:space="preserve">Carry out further additional checks, as appropriate, on candidates who have lived or worked outside of the UK. These will include, where available: </w:t>
      </w:r>
    </w:p>
    <w:p>
      <w:pPr>
        <w:pStyle w:val="4Bulletedcopyblue"/>
        <w:numPr>
          <w:ilvl w:val="1"/>
          <w:numId w:val="69"/>
        </w:numPr>
        <w:spacing w:after="0"/>
        <w:ind w:left="1270"/>
        <w:rPr>
          <w:rFonts w:asciiTheme="minorHAnsi" w:hAnsiTheme="minorHAnsi" w:cstheme="minorHAnsi"/>
          <w:sz w:val="22"/>
          <w:szCs w:val="22"/>
          <w:lang w:val="en-GB"/>
        </w:rPr>
      </w:pPr>
      <w:r>
        <w:rPr>
          <w:rFonts w:asciiTheme="minorHAnsi" w:hAnsiTheme="minorHAnsi" w:cstheme="minorHAnsi"/>
          <w:sz w:val="22"/>
          <w:szCs w:val="22"/>
          <w:lang w:val="en-GB"/>
        </w:rPr>
        <w:t xml:space="preserve">For all staff, including teaching positions: </w:t>
      </w:r>
      <w:hyperlink r:id="rId79" w:history="1">
        <w:r>
          <w:rPr>
            <w:rStyle w:val="Hyperlink"/>
            <w:rFonts w:asciiTheme="minorHAnsi" w:hAnsiTheme="minorHAnsi" w:cstheme="minorHAnsi"/>
            <w:color w:val="auto"/>
            <w:sz w:val="22"/>
            <w:szCs w:val="22"/>
            <w:lang w:val="en-GB"/>
          </w:rPr>
          <w:t>criminal records checks for overseas applicants</w:t>
        </w:r>
      </w:hyperlink>
    </w:p>
    <w:p>
      <w:pPr>
        <w:pStyle w:val="4Bulletedcopyblue"/>
        <w:numPr>
          <w:ilvl w:val="1"/>
          <w:numId w:val="69"/>
        </w:numPr>
        <w:spacing w:after="0"/>
        <w:ind w:left="1270"/>
        <w:rPr>
          <w:rFonts w:asciiTheme="minorHAnsi" w:hAnsiTheme="minorHAnsi" w:cstheme="minorHAnsi"/>
          <w:sz w:val="22"/>
          <w:szCs w:val="22"/>
          <w:lang w:val="en-GB"/>
        </w:rPr>
      </w:pPr>
      <w:r>
        <w:rPr>
          <w:rFonts w:asciiTheme="minorHAnsi" w:hAnsiTheme="minorHAnsi" w:cstheme="minorHAnsi"/>
          <w:sz w:val="22"/>
          <w:szCs w:val="22"/>
          <w:lang w:val="en-GB"/>
        </w:rP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pPr>
        <w:pStyle w:val="4Bulletedcopyblue"/>
        <w:numPr>
          <w:ilvl w:val="1"/>
          <w:numId w:val="69"/>
        </w:numPr>
        <w:spacing w:after="0"/>
        <w:ind w:left="1270"/>
        <w:rPr>
          <w:rFonts w:asciiTheme="minorHAnsi" w:hAnsiTheme="minorHAnsi" w:cstheme="minorHAnsi"/>
          <w:sz w:val="24"/>
          <w:szCs w:val="22"/>
          <w:lang w:val="en-GB"/>
        </w:rPr>
      </w:pPr>
      <w:hyperlink r:id="rId80" w:tgtFrame="_blank" w:history="1">
        <w:r>
          <w:rPr>
            <w:rStyle w:val="Hyperlink"/>
            <w:rFonts w:asciiTheme="minorHAnsi" w:hAnsiTheme="minorHAnsi" w:cstheme="minorHAnsi"/>
            <w:color w:val="auto"/>
            <w:sz w:val="22"/>
            <w:shd w:val="clear" w:color="auto" w:fill="FFFFFF"/>
          </w:rPr>
          <w:t>Check a teacher’s record</w:t>
        </w:r>
      </w:hyperlink>
      <w:r>
        <w:rPr>
          <w:rFonts w:asciiTheme="minorHAnsi" w:hAnsiTheme="minorHAnsi" w:cstheme="minorHAnsi"/>
          <w:sz w:val="22"/>
          <w:shd w:val="clear" w:color="auto" w:fill="FFFFFF"/>
        </w:rPr>
        <w:t> service to make GTCE, prohibition, direction, restriction, and children’s barred list checks. </w:t>
      </w:r>
    </w:p>
    <w:p>
      <w:pPr>
        <w:spacing w:after="0" w:line="240" w:lineRule="auto"/>
        <w:rPr>
          <w:rFonts w:asciiTheme="minorHAnsi" w:eastAsia="Arial" w:hAnsiTheme="minorHAnsi" w:cstheme="minorHAnsi"/>
          <w:lang w:val="en-GB"/>
        </w:rPr>
      </w:pPr>
      <w:r>
        <w:rPr>
          <w:rFonts w:asciiTheme="minorHAnsi" w:eastAsia="Arial" w:hAnsiTheme="minorHAnsi" w:cstheme="minorHAnsi"/>
          <w:lang w:val="en-GB"/>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pPr>
        <w:spacing w:after="0"/>
        <w:rPr>
          <w:rFonts w:asciiTheme="minorHAnsi" w:eastAsia="Arial" w:hAnsiTheme="minorHAnsi" w:cstheme="minorHAnsi"/>
          <w:b/>
          <w:lang w:val="en-GB"/>
        </w:rPr>
      </w:pPr>
    </w:p>
    <w:p>
      <w:pPr>
        <w:shd w:val="clear" w:color="auto" w:fill="FFFFFF"/>
        <w:spacing w:after="0" w:line="240" w:lineRule="auto"/>
        <w:rPr>
          <w:rFonts w:asciiTheme="minorHAnsi" w:eastAsia="Times New Roman" w:hAnsiTheme="minorHAnsi" w:cstheme="minorHAnsi"/>
          <w:color w:val="222222"/>
          <w:szCs w:val="24"/>
          <w:lang w:val="en-GB"/>
        </w:rPr>
      </w:pPr>
      <w:r>
        <w:rPr>
          <w:rFonts w:asciiTheme="minorHAnsi" w:eastAsia="Times New Roman" w:hAnsiTheme="minorHAnsi" w:cstheme="minorHAnsi"/>
          <w:b/>
          <w:bCs/>
          <w:color w:val="222222"/>
          <w:szCs w:val="24"/>
          <w:lang w:val="en-GB"/>
        </w:rPr>
        <w:lastRenderedPageBreak/>
        <w:t>Recruitment of Teachers from Overseas</w:t>
      </w:r>
    </w:p>
    <w:p>
      <w:pPr>
        <w:shd w:val="clear" w:color="auto" w:fill="FFFFFF"/>
        <w:spacing w:after="0" w:line="240" w:lineRule="auto"/>
        <w:rPr>
          <w:rFonts w:asciiTheme="minorHAnsi" w:eastAsia="Times New Roman" w:hAnsiTheme="minorHAnsi" w:cstheme="minorHAnsi"/>
          <w:color w:val="222222"/>
          <w:szCs w:val="24"/>
          <w:lang w:val="en-GB"/>
        </w:rPr>
      </w:pPr>
      <w:r>
        <w:rPr>
          <w:rFonts w:asciiTheme="minorHAnsi" w:eastAsia="Times New Roman" w:hAnsiTheme="minorHAnsi" w:cstheme="minorHAnsi"/>
          <w:color w:val="222222"/>
          <w:szCs w:val="24"/>
          <w:lang w:val="en-GB"/>
        </w:rPr>
        <w:t>When recruiting teachers from overseas, the school ensures compliance with UK immigration laws and safeguarding requirements. Overseas teachers can be employed without Qualified Teacher Status (QTS) for the first four years under the "4-year rule." However, they must meet specific visa requirements, including a salary threshold of at least £23,200 or the relevant national minimum for teachers, whichever is higher. All overseas recruits undergo the same safeguarding checks as domestic staff, including enhanced DBS checks with barred list information and obtaining overseas criminal record checks where applicable. The school will also verify qualifications and professional standing, ensuring they meet UK standards. Any gaps in employment or inconsistencies in references will be thoroughly investigated as part of our commitment to safeguarding</w:t>
      </w:r>
    </w:p>
    <w:p>
      <w:pPr>
        <w:spacing w:after="0"/>
        <w:rPr>
          <w:rFonts w:asciiTheme="minorHAnsi" w:eastAsia="Arial" w:hAnsiTheme="minorHAnsi" w:cstheme="minorHAnsi"/>
          <w:b/>
          <w:lang w:val="en-GB"/>
        </w:rPr>
      </w:pPr>
    </w:p>
    <w:p>
      <w:pPr>
        <w:spacing w:after="0"/>
        <w:rPr>
          <w:rFonts w:asciiTheme="minorHAnsi" w:hAnsiTheme="minorHAnsi" w:cstheme="minorHAnsi"/>
          <w:lang w:val="en-GB"/>
        </w:rPr>
      </w:pPr>
      <w:r>
        <w:rPr>
          <w:rFonts w:asciiTheme="minorHAnsi" w:eastAsia="Arial" w:hAnsiTheme="minorHAnsi" w:cstheme="minorHAnsi"/>
          <w:b/>
          <w:lang w:val="en-GB"/>
        </w:rPr>
        <w:t>Regulated activity</w:t>
      </w:r>
      <w:r>
        <w:rPr>
          <w:rFonts w:asciiTheme="minorHAnsi" w:eastAsia="Arial" w:hAnsiTheme="minorHAnsi" w:cstheme="minorHAnsi"/>
          <w:lang w:val="en-GB"/>
        </w:rPr>
        <w:t xml:space="preserve"> means a person who will be:</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Responsible, on a regular basis in a school or college, for teaching, training, instructing, caring for or supervising children; or</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Carrying out paid, or unsupervised unpaid, work regularly in a school or college where that work provides an opportunity for contact with children; or</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Engaging in intimate or personal care or overnight activity, even if this happens only once and regardless of whether they are supervised or not</w:t>
      </w:r>
    </w:p>
    <w:p>
      <w:pPr>
        <w:pStyle w:val="1bodycopy10pt"/>
        <w:spacing w:after="0"/>
        <w:rPr>
          <w:rFonts w:asciiTheme="minorHAnsi" w:hAnsiTheme="minorHAnsi" w:cstheme="minorHAnsi"/>
          <w:b/>
          <w:sz w:val="22"/>
          <w:szCs w:val="22"/>
          <w:lang w:val="en-GB"/>
        </w:rPr>
      </w:pPr>
    </w:p>
    <w:p>
      <w:pPr>
        <w:pStyle w:val="1bodycopy10pt"/>
        <w:spacing w:after="0"/>
        <w:rPr>
          <w:rFonts w:asciiTheme="minorHAnsi" w:hAnsiTheme="minorHAnsi" w:cstheme="minorHAnsi"/>
          <w:b/>
          <w:sz w:val="22"/>
          <w:szCs w:val="22"/>
          <w:lang w:val="en-GB"/>
        </w:rPr>
      </w:pPr>
      <w:r>
        <w:rPr>
          <w:rFonts w:asciiTheme="minorHAnsi" w:hAnsiTheme="minorHAnsi" w:cstheme="minorHAnsi"/>
          <w:b/>
          <w:sz w:val="22"/>
          <w:szCs w:val="22"/>
          <w:lang w:val="en-GB"/>
        </w:rPr>
        <w:t>Existing staff</w:t>
      </w:r>
    </w:p>
    <w:p>
      <w:pPr>
        <w:spacing w:after="0"/>
        <w:rPr>
          <w:rFonts w:asciiTheme="minorHAnsi" w:hAnsiTheme="minorHAnsi" w:cstheme="minorHAnsi"/>
          <w:lang w:val="en-GB"/>
        </w:rPr>
      </w:pPr>
      <w:r>
        <w:rPr>
          <w:rFonts w:asciiTheme="minorHAnsi" w:hAnsiTheme="minorHAnsi" w:cstheme="minorHAnsi"/>
          <w:lang w:val="en-GB"/>
        </w:rPr>
        <w:t>In certain circumstances we will carry out all the relevant checks on existing staff as if the individual was a new member of staff. These circumstances are when:</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 xml:space="preserve">There are concerns about an existing member of staff’s suitability to work with children; or </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An individual moves from a post that is not regulated activity to one that is; or</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 xml:space="preserve">There has been a break in service of 12 weeks or more </w:t>
      </w:r>
    </w:p>
    <w:p>
      <w:pPr>
        <w:spacing w:after="0"/>
        <w:rPr>
          <w:rFonts w:asciiTheme="minorHAnsi" w:hAnsiTheme="minorHAnsi" w:cstheme="minorHAnsi"/>
          <w:lang w:val="en-GB"/>
        </w:rPr>
      </w:pPr>
      <w:r>
        <w:rPr>
          <w:rFonts w:asciiTheme="minorHAnsi" w:hAnsiTheme="minorHAnsi" w:cstheme="minorHAnsi"/>
          <w:lang w:val="en-GB"/>
        </w:rPr>
        <w:t>We will refer to the DBS anyone who has harmed, or poses a risk of harm, to a child or vulnerable adult where:</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 xml:space="preserve">We believe the individual has engaged in </w:t>
      </w:r>
      <w:hyperlink r:id="rId81" w:anchor="relevant-conduct-in-relation-to-children" w:history="1">
        <w:r>
          <w:rPr>
            <w:rStyle w:val="Hyperlink"/>
            <w:rFonts w:asciiTheme="minorHAnsi" w:hAnsiTheme="minorHAnsi" w:cstheme="minorHAnsi"/>
            <w:sz w:val="22"/>
            <w:szCs w:val="22"/>
            <w:lang w:val="en-GB"/>
          </w:rPr>
          <w:t>relevant conduct</w:t>
        </w:r>
      </w:hyperlink>
      <w:r>
        <w:rPr>
          <w:rFonts w:asciiTheme="minorHAnsi" w:hAnsiTheme="minorHAnsi" w:cstheme="minorHAnsi"/>
          <w:sz w:val="22"/>
          <w:szCs w:val="22"/>
          <w:lang w:val="en-GB"/>
        </w:rPr>
        <w:t>; or</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 xml:space="preserve">We believe the individual has received a caution or conviction for a relevant (automatic barring either with or without the right to make representations) offence, under the </w:t>
      </w:r>
      <w:hyperlink r:id="rId82" w:history="1">
        <w:r>
          <w:rPr>
            <w:rStyle w:val="Hyperlink"/>
            <w:rFonts w:asciiTheme="minorHAnsi" w:hAnsiTheme="minorHAnsi" w:cstheme="minorHAnsi"/>
            <w:sz w:val="22"/>
            <w:szCs w:val="22"/>
            <w:lang w:val="en-GB"/>
          </w:rPr>
          <w:t>Safeguarding Vulnerable Groups Act 2006 (Prescribed Criteria and Miscellaneous Provisions) Regulations 2009</w:t>
        </w:r>
      </w:hyperlink>
      <w:r>
        <w:rPr>
          <w:rFonts w:asciiTheme="minorHAnsi" w:hAnsiTheme="minorHAnsi" w:cstheme="minorHAnsi"/>
          <w:sz w:val="22"/>
          <w:szCs w:val="22"/>
          <w:lang w:val="en-GB"/>
        </w:rPr>
        <w:t>; or</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We believe the ‘harm test’ is satisfied in respect of the individual (i.e. they may harm a child or vulnerable adult or put them at risk of harm); and</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The individual has been removed from working in regulated activity (paid or unpaid) or would have been removed if they had not left</w:t>
      </w:r>
      <w:r>
        <w:rPr>
          <w:rFonts w:asciiTheme="minorHAnsi" w:eastAsia="Arial" w:hAnsiTheme="minorHAnsi" w:cstheme="minorHAnsi"/>
          <w:sz w:val="22"/>
          <w:szCs w:val="22"/>
          <w:lang w:val="en-GB"/>
        </w:rPr>
        <w:t xml:space="preserve"> </w:t>
      </w:r>
    </w:p>
    <w:p>
      <w:pPr>
        <w:pStyle w:val="1bodycopy10pt"/>
        <w:spacing w:after="0"/>
        <w:rPr>
          <w:rFonts w:asciiTheme="minorHAnsi" w:hAnsiTheme="minorHAnsi" w:cstheme="minorHAnsi"/>
          <w:b/>
          <w:sz w:val="22"/>
          <w:szCs w:val="22"/>
          <w:lang w:val="en-GB"/>
        </w:rPr>
      </w:pPr>
    </w:p>
    <w:p>
      <w:pPr>
        <w:pStyle w:val="1bodycopy10pt"/>
        <w:spacing w:after="0"/>
        <w:rPr>
          <w:rFonts w:asciiTheme="minorHAnsi" w:hAnsiTheme="minorHAnsi" w:cstheme="minorHAnsi"/>
          <w:b/>
          <w:sz w:val="22"/>
          <w:szCs w:val="22"/>
          <w:lang w:val="en-GB"/>
        </w:rPr>
      </w:pPr>
      <w:r>
        <w:rPr>
          <w:rFonts w:asciiTheme="minorHAnsi" w:hAnsiTheme="minorHAnsi" w:cstheme="minorHAnsi"/>
          <w:b/>
          <w:sz w:val="22"/>
          <w:szCs w:val="22"/>
          <w:lang w:val="en-GB"/>
        </w:rPr>
        <w:t>Agency and third-party staff</w:t>
      </w:r>
    </w:p>
    <w:p>
      <w:pPr>
        <w:spacing w:after="0"/>
        <w:rPr>
          <w:rFonts w:asciiTheme="minorHAnsi" w:hAnsiTheme="minorHAnsi" w:cstheme="minorHAnsi"/>
          <w:lang w:val="en-GB"/>
        </w:rPr>
      </w:pPr>
      <w:r>
        <w:rPr>
          <w:rFonts w:asciiTheme="minorHAnsi" w:hAnsiTheme="minorHAnsi" w:cstheme="minorHAnsi"/>
          <w:lang w:val="en-GB"/>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pPr>
        <w:pStyle w:val="1bodycopy10pt"/>
        <w:spacing w:after="0"/>
        <w:rPr>
          <w:rFonts w:asciiTheme="minorHAnsi" w:hAnsiTheme="minorHAnsi" w:cstheme="minorHAnsi"/>
          <w:b/>
          <w:sz w:val="22"/>
          <w:szCs w:val="22"/>
          <w:lang w:val="en-GB"/>
        </w:rPr>
      </w:pPr>
    </w:p>
    <w:p>
      <w:pPr>
        <w:pStyle w:val="1bodycopy10pt"/>
        <w:spacing w:after="0"/>
        <w:rPr>
          <w:rFonts w:asciiTheme="minorHAnsi" w:hAnsiTheme="minorHAnsi" w:cstheme="minorHAnsi"/>
          <w:b/>
          <w:sz w:val="22"/>
          <w:szCs w:val="22"/>
          <w:lang w:val="en-GB"/>
        </w:rPr>
      </w:pPr>
      <w:r>
        <w:rPr>
          <w:rFonts w:asciiTheme="minorHAnsi" w:hAnsiTheme="minorHAnsi" w:cstheme="minorHAnsi"/>
          <w:b/>
          <w:sz w:val="22"/>
          <w:szCs w:val="22"/>
          <w:lang w:val="en-GB"/>
        </w:rPr>
        <w:t>Contractors</w:t>
      </w:r>
    </w:p>
    <w:p>
      <w:pPr>
        <w:spacing w:after="0" w:line="240" w:lineRule="auto"/>
        <w:rPr>
          <w:rFonts w:asciiTheme="minorHAnsi" w:eastAsia="Arial" w:hAnsiTheme="minorHAnsi" w:cstheme="minorHAnsi"/>
          <w:lang w:val="en-GB"/>
        </w:rPr>
      </w:pPr>
      <w:r>
        <w:rPr>
          <w:rFonts w:asciiTheme="minorHAnsi" w:eastAsia="Arial" w:hAnsiTheme="minorHAnsi" w:cstheme="minorHAnsi"/>
          <w:lang w:val="en-GB"/>
        </w:rPr>
        <w:t>We will ensure that any contractor, or any employee of the contractor, who is to work at the school has had the appropriate level of DBS check (this includes contractors who are provided through a PFI or similar contract). This will be:</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An enhanced DBS check with barred list information for contractors engaging in regulated activity</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 xml:space="preserve">An enhanced DBS check, not including barred list information, for all other contractors who are not in regulated activity but whose work provides them with an opportunity for regular contact with children </w:t>
      </w:r>
    </w:p>
    <w:p>
      <w:pPr>
        <w:spacing w:after="0" w:line="240" w:lineRule="auto"/>
        <w:rPr>
          <w:rFonts w:asciiTheme="minorHAnsi" w:hAnsiTheme="minorHAnsi" w:cstheme="minorHAnsi"/>
          <w:lang w:val="en-GB"/>
        </w:rPr>
      </w:pPr>
    </w:p>
    <w:p>
      <w:pPr>
        <w:spacing w:after="0" w:line="240" w:lineRule="auto"/>
        <w:rPr>
          <w:rFonts w:asciiTheme="minorHAnsi" w:hAnsiTheme="minorHAnsi" w:cstheme="minorHAnsi"/>
          <w:lang w:val="en-GB"/>
        </w:rPr>
      </w:pPr>
      <w:r>
        <w:rPr>
          <w:rFonts w:asciiTheme="minorHAnsi" w:hAnsiTheme="minorHAnsi" w:cstheme="minorHAnsi"/>
          <w:lang w:val="en-GB"/>
        </w:rPr>
        <w:t xml:space="preserve">We will obtain the DBS check for self-employed contractors. We will not keep copies of such checks for longer than 6 months. Contractors who have not had any checks will not be allowed to work unsupervised or engage in regulated activity under any circumstances. We will check the identity of all contractors and their staff on arrival at the school. </w:t>
      </w:r>
    </w:p>
    <w:p>
      <w:pPr>
        <w:spacing w:after="0" w:line="240" w:lineRule="auto"/>
        <w:rPr>
          <w:rFonts w:asciiTheme="minorHAnsi" w:hAnsiTheme="minorHAnsi" w:cstheme="minorHAnsi"/>
          <w:lang w:val="en-GB"/>
        </w:rPr>
      </w:pPr>
    </w:p>
    <w:p>
      <w:pPr>
        <w:spacing w:after="0" w:line="240" w:lineRule="auto"/>
        <w:rPr>
          <w:rFonts w:asciiTheme="minorHAnsi" w:hAnsiTheme="minorHAnsi" w:cstheme="minorHAnsi"/>
          <w:lang w:val="en-GB"/>
        </w:rPr>
      </w:pPr>
      <w:r>
        <w:rPr>
          <w:rFonts w:asciiTheme="minorHAnsi" w:hAnsiTheme="minorHAnsi" w:cstheme="minorHAnsi"/>
          <w:lang w:val="en-GB"/>
        </w:rPr>
        <w:lastRenderedPageBreak/>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pPr>
        <w:pStyle w:val="1bodycopy10pt"/>
        <w:spacing w:after="0"/>
        <w:rPr>
          <w:rFonts w:asciiTheme="minorHAnsi" w:hAnsiTheme="minorHAnsi" w:cstheme="minorHAnsi"/>
          <w:b/>
          <w:sz w:val="22"/>
          <w:szCs w:val="22"/>
          <w:lang w:val="en-GB"/>
        </w:rPr>
      </w:pPr>
    </w:p>
    <w:p>
      <w:pPr>
        <w:pStyle w:val="1bodycopy10pt"/>
        <w:spacing w:after="0"/>
        <w:rPr>
          <w:rFonts w:asciiTheme="minorHAnsi" w:hAnsiTheme="minorHAnsi" w:cstheme="minorHAnsi"/>
          <w:b/>
          <w:sz w:val="22"/>
          <w:szCs w:val="22"/>
          <w:lang w:val="en-GB"/>
        </w:rPr>
      </w:pPr>
      <w:r>
        <w:rPr>
          <w:rFonts w:asciiTheme="minorHAnsi" w:hAnsiTheme="minorHAnsi" w:cstheme="minorHAnsi"/>
          <w:b/>
          <w:sz w:val="22"/>
          <w:szCs w:val="22"/>
          <w:lang w:val="en-GB"/>
        </w:rPr>
        <w:t>Trainee/student teachers</w:t>
      </w:r>
    </w:p>
    <w:p>
      <w:pPr>
        <w:spacing w:after="0" w:line="240" w:lineRule="auto"/>
        <w:rPr>
          <w:rFonts w:asciiTheme="minorHAnsi" w:hAnsiTheme="minorHAnsi" w:cstheme="minorHAnsi"/>
          <w:lang w:val="en-GB"/>
        </w:rPr>
      </w:pPr>
      <w:r>
        <w:rPr>
          <w:rFonts w:asciiTheme="minorHAnsi" w:hAnsiTheme="minorHAnsi" w:cstheme="minorHAnsi"/>
          <w:lang w:val="en-GB"/>
        </w:rPr>
        <w:t>Where applicants for initial teacher training are salaried by us, we will ensure that all necessary checks are carried out. Where trainee teachers are fee-funded, we will obtain written confirmation from the training provider that necessary checks have been carried out and that the trainee has been judged by the provider to be suitable to work with children. In both cases, this includes checks to ensure that individuals are not disqualified under the 2018 Childcare Disqualification Regulations and Childcare Act 2006.</w:t>
      </w:r>
    </w:p>
    <w:p>
      <w:pPr>
        <w:pStyle w:val="1bodycopy10pt"/>
        <w:spacing w:after="0"/>
        <w:rPr>
          <w:rFonts w:asciiTheme="minorHAnsi" w:hAnsiTheme="minorHAnsi" w:cstheme="minorHAnsi"/>
          <w:b/>
          <w:sz w:val="22"/>
          <w:szCs w:val="22"/>
          <w:lang w:val="en-GB"/>
        </w:rPr>
      </w:pPr>
    </w:p>
    <w:p>
      <w:pPr>
        <w:pStyle w:val="1bodycopy10pt"/>
        <w:spacing w:after="0"/>
        <w:rPr>
          <w:rFonts w:asciiTheme="minorHAnsi" w:hAnsiTheme="minorHAnsi" w:cstheme="minorHAnsi"/>
          <w:b/>
          <w:sz w:val="22"/>
          <w:szCs w:val="22"/>
          <w:lang w:val="en-GB"/>
        </w:rPr>
      </w:pPr>
    </w:p>
    <w:p>
      <w:pPr>
        <w:pStyle w:val="1bodycopy10pt"/>
        <w:spacing w:after="0"/>
        <w:rPr>
          <w:rFonts w:asciiTheme="minorHAnsi" w:hAnsiTheme="minorHAnsi" w:cstheme="minorHAnsi"/>
          <w:b/>
          <w:sz w:val="22"/>
          <w:szCs w:val="22"/>
          <w:lang w:val="en-GB"/>
        </w:rPr>
      </w:pPr>
      <w:r>
        <w:rPr>
          <w:rFonts w:asciiTheme="minorHAnsi" w:hAnsiTheme="minorHAnsi" w:cstheme="minorHAnsi"/>
          <w:b/>
          <w:sz w:val="22"/>
          <w:szCs w:val="22"/>
          <w:lang w:val="en-GB"/>
        </w:rPr>
        <w:t>Volunteers</w:t>
      </w:r>
    </w:p>
    <w:p>
      <w:pPr>
        <w:spacing w:after="0" w:line="240" w:lineRule="auto"/>
        <w:rPr>
          <w:rFonts w:asciiTheme="minorHAnsi" w:hAnsiTheme="minorHAnsi" w:cstheme="minorHAnsi"/>
          <w:lang w:val="en-GB"/>
        </w:rPr>
      </w:pPr>
      <w:r>
        <w:rPr>
          <w:rFonts w:asciiTheme="minorHAnsi" w:hAnsiTheme="minorHAnsi" w:cstheme="minorHAnsi"/>
          <w:lang w:val="en-GB"/>
        </w:rPr>
        <w:t>We will:</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Never leave an unchecked volunteer unsupervised or allow them to work in regulated activity</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 xml:space="preserve">Obtain an enhanced DBS check with barred list information for all volunteers who are new to working in regulated activity </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Carry out a risk assessment when deciding whether to seek an enhanced DBS check without barred list information for any volunteers not engaging in regulated activity. We will retain a record of this risk assessment</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iCs/>
          <w:sz w:val="22"/>
          <w:szCs w:val="22"/>
          <w:lang w:val="en-GB"/>
        </w:rPr>
        <w:t>E</w:t>
      </w:r>
      <w:r>
        <w:rPr>
          <w:rFonts w:asciiTheme="minorHAnsi" w:hAnsiTheme="minorHAnsi" w:cstheme="minorHAnsi"/>
          <w:sz w:val="22"/>
          <w:szCs w:val="22"/>
          <w:lang w:val="en-GB"/>
        </w:rPr>
        <w:t>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pPr>
        <w:pStyle w:val="1bodycopy10pt"/>
        <w:spacing w:after="0"/>
        <w:rPr>
          <w:rFonts w:asciiTheme="minorHAnsi" w:hAnsiTheme="minorHAnsi" w:cstheme="minorHAnsi"/>
          <w:b/>
          <w:sz w:val="22"/>
          <w:szCs w:val="22"/>
          <w:lang w:val="en-GB"/>
        </w:rPr>
      </w:pPr>
    </w:p>
    <w:p>
      <w:pPr>
        <w:pStyle w:val="1bodycopy10pt"/>
        <w:spacing w:after="0"/>
        <w:rPr>
          <w:rFonts w:asciiTheme="minorHAnsi" w:hAnsiTheme="minorHAnsi" w:cstheme="minorHAnsi"/>
          <w:b/>
          <w:sz w:val="22"/>
          <w:szCs w:val="22"/>
          <w:lang w:val="en-GB"/>
        </w:rPr>
      </w:pPr>
    </w:p>
    <w:p>
      <w:pPr>
        <w:pStyle w:val="1bodycopy10pt"/>
        <w:spacing w:after="0"/>
        <w:rPr>
          <w:rFonts w:asciiTheme="minorHAnsi" w:hAnsiTheme="minorHAnsi" w:cstheme="minorHAnsi"/>
          <w:b/>
          <w:sz w:val="22"/>
          <w:szCs w:val="22"/>
          <w:lang w:val="en-GB"/>
        </w:rPr>
      </w:pPr>
      <w:r>
        <w:rPr>
          <w:rFonts w:asciiTheme="minorHAnsi" w:hAnsiTheme="minorHAnsi" w:cstheme="minorHAnsi"/>
          <w:b/>
          <w:sz w:val="22"/>
          <w:szCs w:val="22"/>
          <w:lang w:val="en-GB"/>
        </w:rPr>
        <w:t xml:space="preserve">Governors </w:t>
      </w:r>
    </w:p>
    <w:p>
      <w:pPr>
        <w:spacing w:after="0"/>
        <w:rPr>
          <w:rFonts w:asciiTheme="minorHAnsi" w:hAnsiTheme="minorHAnsi" w:cstheme="minorHAnsi"/>
          <w:lang w:val="en-GB"/>
        </w:rPr>
      </w:pPr>
      <w:r>
        <w:rPr>
          <w:rFonts w:asciiTheme="minorHAnsi" w:eastAsia="Arial" w:hAnsiTheme="minorHAnsi" w:cstheme="minorHAnsi"/>
          <w:lang w:val="en-GB"/>
        </w:rPr>
        <w:t>All governors</w:t>
      </w:r>
      <w:r>
        <w:rPr>
          <w:rFonts w:asciiTheme="minorHAnsi" w:eastAsia="Arial" w:hAnsiTheme="minorHAnsi" w:cstheme="minorHAnsi"/>
          <w:iCs/>
          <w:color w:val="ED7D31"/>
          <w:lang w:val="en-GB"/>
        </w:rPr>
        <w:t xml:space="preserve"> </w:t>
      </w:r>
      <w:r>
        <w:rPr>
          <w:rFonts w:asciiTheme="minorHAnsi" w:eastAsia="Arial" w:hAnsiTheme="minorHAnsi" w:cstheme="minorHAnsi"/>
          <w:lang w:val="en-GB"/>
        </w:rPr>
        <w:t>will have an enhanced DBS check with barred list information.</w:t>
      </w:r>
      <w:r>
        <w:rPr>
          <w:rFonts w:asciiTheme="minorHAnsi" w:hAnsiTheme="minorHAnsi" w:cstheme="minorHAnsi"/>
          <w:color w:val="1D1E1C"/>
          <w:shd w:val="clear" w:color="auto" w:fill="FFFFFF"/>
        </w:rPr>
        <w:t xml:space="preserve"> To check if a person proposed to be a governor is barred as a result of being subject to a section 128 direction, schools and colleges are directed to the Government’s </w:t>
      </w:r>
      <w:hyperlink r:id="rId83" w:tgtFrame="_blank" w:history="1">
        <w:r>
          <w:rPr>
            <w:rStyle w:val="Hyperlink"/>
            <w:rFonts w:asciiTheme="minorHAnsi" w:hAnsiTheme="minorHAnsi" w:cstheme="minorHAnsi"/>
            <w:shd w:val="clear" w:color="auto" w:fill="FFFFFF"/>
          </w:rPr>
          <w:t>list of individuals prohibited from managing or governing schools</w:t>
        </w:r>
      </w:hyperlink>
      <w:r>
        <w:rPr>
          <w:rFonts w:asciiTheme="minorHAnsi" w:hAnsiTheme="minorHAnsi" w:cstheme="minorHAnsi"/>
          <w:color w:val="1D1E1C"/>
          <w:shd w:val="clear" w:color="auto" w:fill="FFFFFF"/>
        </w:rPr>
        <w:t>.</w:t>
      </w:r>
    </w:p>
    <w:p>
      <w:pPr>
        <w:spacing w:after="0"/>
        <w:rPr>
          <w:rFonts w:asciiTheme="minorHAnsi" w:eastAsia="Arial" w:hAnsiTheme="minorHAnsi" w:cstheme="minorHAnsi"/>
          <w:lang w:val="en-GB"/>
        </w:rPr>
      </w:pPr>
      <w:r>
        <w:rPr>
          <w:rFonts w:asciiTheme="minorHAnsi" w:eastAsia="Arial" w:hAnsiTheme="minorHAnsi" w:cstheme="minorHAnsi"/>
          <w:lang w:val="en-GB"/>
        </w:rPr>
        <w:t>They will have an enhanced DBS check with barred list information if working in regulated activity.</w:t>
      </w:r>
    </w:p>
    <w:p>
      <w:pPr>
        <w:pStyle w:val="1bodycopy10pt"/>
        <w:spacing w:after="0"/>
        <w:rPr>
          <w:rFonts w:asciiTheme="minorHAnsi" w:hAnsiTheme="minorHAnsi" w:cstheme="minorHAnsi"/>
          <w:b/>
          <w:sz w:val="22"/>
          <w:szCs w:val="22"/>
          <w:lang w:val="en-GB"/>
        </w:rPr>
      </w:pPr>
    </w:p>
    <w:p>
      <w:pPr>
        <w:pStyle w:val="1bodycopy10pt"/>
        <w:spacing w:after="0"/>
        <w:rPr>
          <w:rFonts w:asciiTheme="minorHAnsi" w:hAnsiTheme="minorHAnsi" w:cstheme="minorHAnsi"/>
          <w:b/>
          <w:sz w:val="22"/>
          <w:szCs w:val="22"/>
          <w:lang w:val="en-GB"/>
        </w:rPr>
      </w:pPr>
      <w:r>
        <w:rPr>
          <w:rFonts w:asciiTheme="minorHAnsi" w:hAnsiTheme="minorHAnsi" w:cstheme="minorHAnsi"/>
          <w:b/>
          <w:sz w:val="22"/>
          <w:szCs w:val="22"/>
          <w:lang w:val="en-GB"/>
        </w:rPr>
        <w:t>Staff working in alternative provision settings</w:t>
      </w:r>
    </w:p>
    <w:p>
      <w:pPr>
        <w:spacing w:after="0"/>
        <w:rPr>
          <w:rFonts w:asciiTheme="minorHAnsi" w:hAnsiTheme="minorHAnsi" w:cstheme="minorHAnsi"/>
          <w:lang w:val="en-GB"/>
        </w:rPr>
      </w:pPr>
      <w:r>
        <w:rPr>
          <w:rFonts w:asciiTheme="minorHAnsi" w:hAnsiTheme="minorHAnsi" w:cstheme="minorHAnsi"/>
          <w:lang w:val="en-GB"/>
        </w:rPr>
        <w:t>Where we place a pupil with an alternative provision provider, we will:</w:t>
      </w:r>
    </w:p>
    <w:p>
      <w:pPr>
        <w:pStyle w:val="ListParagraph"/>
        <w:numPr>
          <w:ilvl w:val="0"/>
          <w:numId w:val="104"/>
        </w:numPr>
        <w:rPr>
          <w:rFonts w:asciiTheme="minorHAnsi" w:hAnsiTheme="minorHAnsi" w:cstheme="minorHAnsi"/>
          <w:lang w:val="en-GB"/>
        </w:rPr>
      </w:pPr>
      <w:r>
        <w:rPr>
          <w:rFonts w:asciiTheme="minorHAnsi" w:hAnsiTheme="minorHAnsi" w:cstheme="minorHAnsi"/>
          <w:lang w:val="en-GB"/>
        </w:rPr>
        <w:t>Obtain written confirmation that appropriate safeguarding checks have been carried out on individuals working at the establishment</w:t>
      </w:r>
    </w:p>
    <w:p>
      <w:pPr>
        <w:pStyle w:val="ListParagraph"/>
        <w:numPr>
          <w:ilvl w:val="0"/>
          <w:numId w:val="104"/>
        </w:numPr>
        <w:spacing w:after="0"/>
        <w:rPr>
          <w:rFonts w:asciiTheme="minorHAnsi" w:hAnsiTheme="minorHAnsi" w:cstheme="minorHAnsi"/>
          <w:lang w:val="en-GB"/>
        </w:rPr>
      </w:pPr>
      <w:r>
        <w:rPr>
          <w:rFonts w:asciiTheme="minorHAnsi" w:hAnsiTheme="minorHAnsi" w:cstheme="minorHAnsi"/>
          <w:lang w:val="en-GB"/>
        </w:rPr>
        <w:t>Receive notification of any arrangements that may put the pupil at risk</w:t>
      </w:r>
    </w:p>
    <w:p>
      <w:pPr>
        <w:pStyle w:val="ListParagraph"/>
        <w:numPr>
          <w:ilvl w:val="0"/>
          <w:numId w:val="104"/>
        </w:numPr>
        <w:spacing w:after="0"/>
        <w:rPr>
          <w:rFonts w:asciiTheme="minorHAnsi" w:hAnsiTheme="minorHAnsi" w:cstheme="minorHAnsi"/>
          <w:lang w:val="en-GB"/>
        </w:rPr>
      </w:pPr>
      <w:r>
        <w:rPr>
          <w:rFonts w:asciiTheme="minorHAnsi" w:hAnsiTheme="minorHAnsi" w:cstheme="minorHAnsi"/>
          <w:lang w:val="en-GB"/>
        </w:rPr>
        <w:t>Remain fully aware of where a pupil is based during school/college hours</w:t>
      </w:r>
    </w:p>
    <w:p>
      <w:pPr>
        <w:pStyle w:val="ListParagraph"/>
        <w:numPr>
          <w:ilvl w:val="0"/>
          <w:numId w:val="104"/>
        </w:numPr>
        <w:spacing w:after="0"/>
        <w:rPr>
          <w:rFonts w:asciiTheme="minorHAnsi" w:hAnsiTheme="minorHAnsi" w:cstheme="minorHAnsi"/>
          <w:lang w:val="en-GB"/>
        </w:rPr>
      </w:pPr>
      <w:r>
        <w:rPr>
          <w:rFonts w:asciiTheme="minorHAnsi" w:hAnsiTheme="minorHAnsi" w:cstheme="minorHAnsi"/>
          <w:lang w:val="en-GB"/>
        </w:rPr>
        <w:t>Review AP placements at least half termly</w:t>
      </w:r>
    </w:p>
    <w:p>
      <w:pPr>
        <w:pStyle w:val="ListParagraph"/>
        <w:numPr>
          <w:ilvl w:val="0"/>
          <w:numId w:val="104"/>
        </w:numPr>
        <w:spacing w:after="0"/>
        <w:rPr>
          <w:rFonts w:asciiTheme="minorHAnsi" w:hAnsiTheme="minorHAnsi" w:cstheme="minorHAnsi"/>
          <w:lang w:val="en-GB"/>
        </w:rPr>
      </w:pPr>
      <w:r>
        <w:rPr>
          <w:rFonts w:asciiTheme="minorHAnsi" w:hAnsiTheme="minorHAnsi" w:cstheme="minorHAnsi"/>
          <w:lang w:val="en-GB"/>
        </w:rPr>
        <w:t>Review and potentially terminate any placements where safeguarding concerns arise.</w:t>
      </w:r>
    </w:p>
    <w:p>
      <w:pPr>
        <w:pStyle w:val="1bodycopy10pt"/>
        <w:spacing w:after="0"/>
        <w:rPr>
          <w:rFonts w:asciiTheme="minorHAnsi" w:hAnsiTheme="minorHAnsi" w:cstheme="minorHAnsi"/>
          <w:b/>
          <w:sz w:val="22"/>
          <w:szCs w:val="22"/>
          <w:lang w:val="en-GB"/>
        </w:rPr>
      </w:pPr>
    </w:p>
    <w:p>
      <w:pPr>
        <w:pStyle w:val="1bodycopy10pt"/>
        <w:spacing w:after="0"/>
        <w:rPr>
          <w:rFonts w:asciiTheme="minorHAnsi" w:hAnsiTheme="minorHAnsi" w:cstheme="minorHAnsi"/>
          <w:b/>
          <w:sz w:val="22"/>
          <w:szCs w:val="22"/>
          <w:lang w:val="en-GB"/>
        </w:rPr>
      </w:pPr>
      <w:r>
        <w:rPr>
          <w:rFonts w:asciiTheme="minorHAnsi" w:hAnsiTheme="minorHAnsi" w:cstheme="minorHAnsi"/>
          <w:b/>
          <w:sz w:val="22"/>
          <w:szCs w:val="22"/>
          <w:lang w:val="en-GB"/>
        </w:rPr>
        <w:t xml:space="preserve">Adults who supervise pupils on work experience </w:t>
      </w:r>
    </w:p>
    <w:p>
      <w:pPr>
        <w:spacing w:after="0"/>
        <w:rPr>
          <w:rFonts w:asciiTheme="minorHAnsi" w:hAnsiTheme="minorHAnsi" w:cstheme="minorHAnsi"/>
          <w:lang w:val="en-GB"/>
        </w:rPr>
      </w:pPr>
      <w:r>
        <w:rPr>
          <w:rFonts w:asciiTheme="minorHAnsi" w:hAnsiTheme="minorHAnsi" w:cstheme="minorHAnsi"/>
          <w:lang w:val="en-GB"/>
        </w:rPr>
        <w:t>When organising work experience, we will ensure that policies and procedures are in place to protect children from harm.</w:t>
      </w:r>
    </w:p>
    <w:p>
      <w:pPr>
        <w:spacing w:after="0"/>
        <w:rPr>
          <w:rFonts w:asciiTheme="minorHAnsi" w:hAnsiTheme="minorHAnsi" w:cstheme="minorHAnsi"/>
          <w:lang w:val="en-GB"/>
        </w:rPr>
      </w:pPr>
      <w:r>
        <w:rPr>
          <w:rFonts w:asciiTheme="minorHAnsi" w:hAnsiTheme="minorHAnsi" w:cstheme="minorHAnsi"/>
          <w:lang w:val="en-GB"/>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pPr>
        <w:pStyle w:val="1bodycopy10pt"/>
        <w:spacing w:after="0"/>
        <w:rPr>
          <w:rFonts w:asciiTheme="minorHAnsi" w:hAnsiTheme="minorHAnsi" w:cstheme="minorHAnsi"/>
          <w:b/>
          <w:sz w:val="22"/>
          <w:szCs w:val="22"/>
          <w:lang w:val="en-GB"/>
        </w:rPr>
      </w:pPr>
    </w:p>
    <w:p>
      <w:pPr>
        <w:pStyle w:val="1bodycopy10pt"/>
        <w:spacing w:after="0"/>
        <w:rPr>
          <w:rFonts w:asciiTheme="minorHAnsi" w:hAnsiTheme="minorHAnsi" w:cstheme="minorHAnsi"/>
          <w:b/>
          <w:sz w:val="22"/>
          <w:szCs w:val="22"/>
          <w:lang w:val="en-GB"/>
        </w:rPr>
      </w:pPr>
      <w:r>
        <w:rPr>
          <w:rFonts w:asciiTheme="minorHAnsi" w:hAnsiTheme="minorHAnsi" w:cstheme="minorHAnsi"/>
          <w:b/>
          <w:sz w:val="22"/>
          <w:szCs w:val="22"/>
          <w:lang w:val="en-GB"/>
        </w:rPr>
        <w:t>Pupils staying with host families</w:t>
      </w:r>
    </w:p>
    <w:p>
      <w:pPr>
        <w:rPr>
          <w:rFonts w:asciiTheme="minorHAnsi" w:hAnsiTheme="minorHAnsi" w:cstheme="minorHAnsi"/>
        </w:rPr>
      </w:pPr>
      <w:r>
        <w:rPr>
          <w:rFonts w:asciiTheme="minorHAnsi" w:hAnsiTheme="minorHAnsi" w:cstheme="minorHAnsi"/>
        </w:rPr>
        <w:lastRenderedPageBreak/>
        <w:t xml:space="preserve">Where the school makes arrangements for pupils to be provided with care and accommodation by a host family to which they are not related (for example, during a foreign exchange visit), we will request enhanced DBS checks with barred list information on those people. Where the school is </w:t>
      </w:r>
      <w:proofErr w:type="spellStart"/>
      <w:r>
        <w:rPr>
          <w:rFonts w:asciiTheme="minorHAnsi" w:hAnsiTheme="minorHAnsi" w:cstheme="minorHAnsi"/>
        </w:rPr>
        <w:t>organising</w:t>
      </w:r>
      <w:proofErr w:type="spellEnd"/>
      <w:r>
        <w:rPr>
          <w:rFonts w:asciiTheme="minorHAnsi" w:hAnsiTheme="minorHAnsi" w:cstheme="minorHAnsi"/>
        </w:rPr>
        <w:t xml:space="preserve"> such hosting arrangements overseas and host families cannot be checked in the same way, we will work with our partner schools abroad to ensure that similar assurances are undertaken prior to the visit.</w:t>
      </w:r>
    </w:p>
    <w:p>
      <w:bookmarkStart w:id="167" w:name="_heading=h.2zhxsxqg3j60" w:colFirst="0" w:colLast="0"/>
      <w:bookmarkStart w:id="168" w:name="_heading=h.daf2svbp5k48" w:colFirst="0" w:colLast="0"/>
      <w:bookmarkStart w:id="169" w:name="_Toc145850467"/>
      <w:bookmarkEnd w:id="167"/>
      <w:bookmarkEnd w:id="168"/>
    </w:p>
    <w:p>
      <w:pPr>
        <w:pStyle w:val="Heading1"/>
      </w:pPr>
      <w:bookmarkStart w:id="170" w:name="_Toc172030680"/>
      <w:r>
        <w:t>Appendix 3</w:t>
      </w:r>
      <w:bookmarkEnd w:id="170"/>
    </w:p>
    <w:bookmarkEnd w:id="169"/>
    <w:p>
      <w:pPr>
        <w:spacing w:after="0"/>
      </w:pPr>
      <w:r>
        <w:t xml:space="preserve">Southampton City Council’s Designated Officer is: Jemma Swann </w:t>
      </w:r>
    </w:p>
    <w:p>
      <w:pPr>
        <w:spacing w:after="0"/>
      </w:pPr>
      <w:r>
        <w:t>Phone:  023 8091 5535</w:t>
      </w:r>
    </w:p>
    <w:p>
      <w:pPr>
        <w:spacing w:after="0"/>
      </w:pPr>
      <w:r>
        <w:t xml:space="preserve">E-mail:  </w:t>
      </w:r>
      <w:hyperlink r:id="rId84" w:history="1">
        <w:r>
          <w:rPr>
            <w:rStyle w:val="Hyperlink"/>
          </w:rPr>
          <w:t>LADO@southampton.gov.uk</w:t>
        </w:r>
      </w:hyperlink>
    </w:p>
    <w:p>
      <w:pPr>
        <w:pStyle w:val="Heading2"/>
        <w:rPr>
          <w:sz w:val="28"/>
        </w:rPr>
      </w:pPr>
      <w:bookmarkStart w:id="171" w:name="_Toc172030681"/>
      <w:r>
        <w:rPr>
          <w:sz w:val="28"/>
        </w:rPr>
        <w:t>Section 1: Allegations that May Meet the Harm Threshold</w:t>
      </w:r>
      <w:bookmarkEnd w:id="171"/>
    </w:p>
    <w:p>
      <w:pPr>
        <w:rPr>
          <w:rFonts w:asciiTheme="minorHAnsi" w:hAnsiTheme="minorHAnsi" w:cstheme="minorHAnsi"/>
        </w:rPr>
      </w:pPr>
      <w:r>
        <w:rPr>
          <w:rFonts w:asciiTheme="minorHAnsi" w:hAnsiTheme="minorHAnsi" w:cstheme="minorHAnsi"/>
        </w:rPr>
        <w:t xml:space="preserve">This section is based on ‘Section 1: Allegations that may meet the harm threshold’ in part 4 of Keeping Children Safe in Education. </w:t>
      </w:r>
    </w:p>
    <w:p>
      <w:pPr>
        <w:rPr>
          <w:rStyle w:val="1bodycopy10ptChar"/>
          <w:rFonts w:asciiTheme="minorHAnsi" w:hAnsiTheme="minorHAnsi" w:cstheme="minorHAnsi"/>
          <w:sz w:val="22"/>
          <w:szCs w:val="22"/>
        </w:rPr>
      </w:pPr>
      <w:r>
        <w:rPr>
          <w:rStyle w:val="1bodycopy10ptChar"/>
          <w:rFonts w:asciiTheme="minorHAnsi" w:hAnsiTheme="minorHAnsi" w:cstheme="minorHAnsi"/>
          <w:sz w:val="22"/>
          <w:szCs w:val="22"/>
        </w:rPr>
        <w:t xml:space="preserve">We use Staff Safe to record any </w:t>
      </w:r>
      <w:proofErr w:type="gramStart"/>
      <w:r>
        <w:rPr>
          <w:rStyle w:val="1bodycopy10ptChar"/>
          <w:rFonts w:asciiTheme="minorHAnsi" w:hAnsiTheme="minorHAnsi" w:cstheme="minorHAnsi"/>
          <w:sz w:val="22"/>
          <w:szCs w:val="22"/>
        </w:rPr>
        <w:t>low level</w:t>
      </w:r>
      <w:proofErr w:type="gramEnd"/>
      <w:r>
        <w:rPr>
          <w:rStyle w:val="1bodycopy10ptChar"/>
          <w:rFonts w:asciiTheme="minorHAnsi" w:hAnsiTheme="minorHAnsi" w:cstheme="minorHAnsi"/>
          <w:sz w:val="22"/>
          <w:szCs w:val="22"/>
        </w:rPr>
        <w:t xml:space="preserve"> concerns. </w:t>
      </w:r>
    </w:p>
    <w:p>
      <w:pPr>
        <w:spacing w:after="0"/>
        <w:rPr>
          <w:rFonts w:asciiTheme="minorHAnsi" w:hAnsiTheme="minorHAnsi" w:cstheme="minorHAnsi"/>
        </w:rPr>
      </w:pPr>
      <w:r>
        <w:rPr>
          <w:rFonts w:asciiTheme="minorHAnsi" w:hAnsiTheme="minorHAnsi" w:cstheme="minorHAnsi"/>
        </w:rPr>
        <w:t>This section applies to all cases in which it is alleged that a current member of staff, including a supply teacher, volunteer or contractor, has:</w:t>
      </w:r>
    </w:p>
    <w:p>
      <w:pPr>
        <w:pStyle w:val="4Bulletedcopyblue"/>
        <w:numPr>
          <w:ilvl w:val="0"/>
          <w:numId w:val="75"/>
        </w:numPr>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Behaved in a way that has harmed a child, or may have harmed a child, and/or </w:t>
      </w:r>
    </w:p>
    <w:p>
      <w:pPr>
        <w:pStyle w:val="4Bulletedcopyblue"/>
        <w:numPr>
          <w:ilvl w:val="0"/>
          <w:numId w:val="75"/>
        </w:numPr>
        <w:spacing w:after="0"/>
        <w:rPr>
          <w:rFonts w:asciiTheme="minorHAnsi" w:hAnsiTheme="minorHAnsi" w:cstheme="minorHAnsi"/>
          <w:sz w:val="22"/>
          <w:szCs w:val="22"/>
          <w:lang w:val="en-GB"/>
        </w:rPr>
      </w:pPr>
      <w:r>
        <w:rPr>
          <w:rFonts w:asciiTheme="minorHAnsi" w:hAnsiTheme="minorHAnsi" w:cstheme="minorHAnsi"/>
          <w:sz w:val="22"/>
          <w:szCs w:val="22"/>
          <w:lang w:val="en-GB"/>
        </w:rPr>
        <w:t>Possibly committed a criminal offence against or related to a child, and/or</w:t>
      </w:r>
    </w:p>
    <w:p>
      <w:pPr>
        <w:pStyle w:val="4Bulletedcopyblue"/>
        <w:numPr>
          <w:ilvl w:val="0"/>
          <w:numId w:val="75"/>
        </w:numPr>
        <w:spacing w:after="0"/>
        <w:rPr>
          <w:rFonts w:asciiTheme="minorHAnsi" w:hAnsiTheme="minorHAnsi" w:cstheme="minorHAnsi"/>
          <w:sz w:val="22"/>
          <w:szCs w:val="22"/>
          <w:lang w:val="en-GB"/>
        </w:rPr>
      </w:pPr>
      <w:r>
        <w:rPr>
          <w:rFonts w:asciiTheme="minorHAnsi" w:hAnsiTheme="minorHAnsi" w:cstheme="minorHAnsi"/>
          <w:sz w:val="22"/>
          <w:szCs w:val="22"/>
          <w:lang w:val="en-GB"/>
        </w:rPr>
        <w:t>Behaved towards a child or children in a way that indicates they may pose a risk of harm to children, and/or </w:t>
      </w:r>
    </w:p>
    <w:p>
      <w:pPr>
        <w:pStyle w:val="4Bulletedcopyblue"/>
        <w:numPr>
          <w:ilvl w:val="0"/>
          <w:numId w:val="75"/>
        </w:numPr>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Behaved or may have behaved in a way that indicates they may not be suitable to work with children – this includes behaviour taking place both inside and outside of school </w:t>
      </w:r>
    </w:p>
    <w:p>
      <w:pPr>
        <w:rPr>
          <w:rFonts w:asciiTheme="minorHAnsi" w:hAnsiTheme="minorHAnsi" w:cstheme="minorHAnsi"/>
        </w:rPr>
      </w:pPr>
      <w:r>
        <w:rPr>
          <w:rFonts w:asciiTheme="minorHAnsi" w:hAnsiTheme="minorHAnsi" w:cstheme="minorHAnsi"/>
        </w:rPr>
        <w:t xml:space="preserve">If we’re in any doubt as to whether a concern meets the harm threshold, we will consult out local authority designated officer (LADO). </w:t>
      </w:r>
    </w:p>
    <w:p>
      <w:pPr>
        <w:pStyle w:val="1bodycopy10pt"/>
        <w:rPr>
          <w:rFonts w:asciiTheme="minorHAnsi" w:hAnsiTheme="minorHAnsi" w:cstheme="minorHAnsi"/>
          <w:sz w:val="22"/>
          <w:szCs w:val="22"/>
          <w:lang w:val="en-GB"/>
        </w:rPr>
      </w:pPr>
      <w:r>
        <w:rPr>
          <w:rFonts w:asciiTheme="minorHAnsi" w:hAnsiTheme="minorHAnsi" w:cstheme="minorHAnsi"/>
          <w:sz w:val="22"/>
          <w:szCs w:val="22"/>
          <w:lang w:val="en-GB"/>
        </w:rPr>
        <w:t xml:space="preserve">We will deal with any allegation of abuse quickly, in a fair and consistent way that provides effective child protection while also supporting the individual who is the subject of the allegation. </w:t>
      </w:r>
    </w:p>
    <w:p>
      <w:pPr>
        <w:pStyle w:val="1bodycopy10pt"/>
        <w:rPr>
          <w:rFonts w:asciiTheme="minorHAnsi" w:hAnsiTheme="minorHAnsi" w:cstheme="minorHAnsi"/>
          <w:sz w:val="22"/>
          <w:szCs w:val="22"/>
          <w:u w:val="single"/>
          <w:lang w:val="en-GB"/>
        </w:rPr>
      </w:pPr>
      <w:r>
        <w:rPr>
          <w:rFonts w:asciiTheme="minorHAnsi" w:hAnsiTheme="minorHAnsi" w:cstheme="minorHAnsi"/>
          <w:sz w:val="22"/>
          <w:szCs w:val="22"/>
          <w:lang w:val="en-GB"/>
        </w:rPr>
        <w:t>A ‘case manager’ will lead any investigation. This will be the headteacher, or the chair of governors (Alan Hunt) where the headteacher is the subject of the allegation. The case manager will be identified at the earliest opportunity.</w:t>
      </w:r>
    </w:p>
    <w:p>
      <w:pPr>
        <w:pStyle w:val="1bodycopy10pt"/>
        <w:rPr>
          <w:rFonts w:asciiTheme="minorHAnsi" w:hAnsiTheme="minorHAnsi" w:cstheme="minorHAnsi"/>
          <w:sz w:val="22"/>
          <w:szCs w:val="22"/>
          <w:lang w:val="en-GB"/>
        </w:rPr>
      </w:pPr>
      <w:r>
        <w:rPr>
          <w:rFonts w:asciiTheme="minorHAnsi" w:hAnsiTheme="minorHAnsi" w:cstheme="minorHAnsi"/>
          <w:sz w:val="22"/>
          <w:szCs w:val="22"/>
          <w:lang w:val="en-GB"/>
        </w:rPr>
        <w:t>Our procedures for dealing with allegations will be applied with common sense and judgement.</w:t>
      </w:r>
    </w:p>
    <w:p>
      <w:pPr>
        <w:pStyle w:val="1bodycopy10pt"/>
        <w:rPr>
          <w:rFonts w:asciiTheme="minorHAnsi" w:hAnsiTheme="minorHAnsi" w:cstheme="minorHAnsi"/>
          <w:sz w:val="22"/>
          <w:szCs w:val="22"/>
          <w:lang w:val="en-GB"/>
        </w:rPr>
      </w:pPr>
      <w:r>
        <w:rPr>
          <w:rFonts w:asciiTheme="minorHAnsi" w:hAnsiTheme="minorHAnsi" w:cstheme="minorHAnsi"/>
          <w:sz w:val="22"/>
          <w:szCs w:val="22"/>
          <w:lang w:val="en-GB"/>
        </w:rPr>
        <w:t>If we receive an allegation of an incident happening while an individual or organisation was using the school premises to run activities for children, we will follow our safeguarding policies and procedures and inform our LADO.</w:t>
      </w:r>
    </w:p>
    <w:p>
      <w:pPr>
        <w:pStyle w:val="Subhead2"/>
        <w:spacing w:after="0"/>
        <w:rPr>
          <w:rFonts w:asciiTheme="minorHAnsi" w:hAnsiTheme="minorHAnsi" w:cstheme="minorHAnsi"/>
          <w:color w:val="auto"/>
          <w:sz w:val="22"/>
          <w:szCs w:val="22"/>
          <w:lang w:val="en-GB"/>
        </w:rPr>
      </w:pPr>
      <w:r>
        <w:rPr>
          <w:rFonts w:asciiTheme="minorHAnsi" w:hAnsiTheme="minorHAnsi" w:cstheme="minorHAnsi"/>
          <w:color w:val="auto"/>
          <w:sz w:val="22"/>
          <w:szCs w:val="22"/>
          <w:lang w:val="en-GB"/>
        </w:rPr>
        <w:t>Suspension of the accused until the case is resolved</w:t>
      </w:r>
    </w:p>
    <w:p>
      <w:pPr>
        <w:rPr>
          <w:rFonts w:asciiTheme="minorHAnsi" w:hAnsiTheme="minorHAnsi" w:cstheme="minorHAnsi"/>
        </w:rPr>
      </w:pPr>
      <w:r>
        <w:rPr>
          <w:rFonts w:asciiTheme="minorHAnsi" w:hAnsiTheme="minorHAnsi" w:cstheme="minorHAnsi"/>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pPr>
        <w:spacing w:after="0"/>
        <w:rPr>
          <w:rFonts w:asciiTheme="minorHAnsi" w:hAnsiTheme="minorHAnsi" w:cstheme="minorHAnsi"/>
        </w:rPr>
      </w:pPr>
      <w:r>
        <w:rPr>
          <w:rFonts w:asciiTheme="minorHAnsi" w:hAnsiTheme="minorHAnsi" w:cstheme="minorHAnsi"/>
        </w:rPr>
        <w:t>Based on an assessment of risk, we will consider alternatives such as:</w:t>
      </w:r>
    </w:p>
    <w:p>
      <w:pPr>
        <w:pStyle w:val="4Bulletedcopyblue"/>
        <w:numPr>
          <w:ilvl w:val="0"/>
          <w:numId w:val="76"/>
        </w:numPr>
        <w:spacing w:after="0"/>
        <w:rPr>
          <w:rFonts w:asciiTheme="minorHAnsi" w:hAnsiTheme="minorHAnsi" w:cstheme="minorHAnsi"/>
          <w:sz w:val="22"/>
          <w:szCs w:val="22"/>
          <w:lang w:val="en-GB"/>
        </w:rPr>
      </w:pPr>
      <w:r>
        <w:rPr>
          <w:rFonts w:asciiTheme="minorHAnsi" w:hAnsiTheme="minorHAnsi" w:cstheme="minorHAnsi"/>
          <w:sz w:val="22"/>
          <w:szCs w:val="22"/>
          <w:lang w:val="en-GB"/>
        </w:rPr>
        <w:t>Redeployment within the school so that the individual does not have direct contact with the child or children concerned</w:t>
      </w:r>
    </w:p>
    <w:p>
      <w:pPr>
        <w:pStyle w:val="4Bulletedcopyblue"/>
        <w:numPr>
          <w:ilvl w:val="0"/>
          <w:numId w:val="76"/>
        </w:numPr>
        <w:spacing w:after="0"/>
        <w:rPr>
          <w:rFonts w:asciiTheme="minorHAnsi" w:hAnsiTheme="minorHAnsi" w:cstheme="minorHAnsi"/>
          <w:sz w:val="22"/>
          <w:szCs w:val="22"/>
          <w:lang w:val="en-GB"/>
        </w:rPr>
      </w:pPr>
      <w:r>
        <w:rPr>
          <w:rFonts w:asciiTheme="minorHAnsi" w:hAnsiTheme="minorHAnsi" w:cstheme="minorHAnsi"/>
          <w:sz w:val="22"/>
          <w:szCs w:val="22"/>
          <w:lang w:val="en-GB"/>
        </w:rPr>
        <w:t>Providing an assistant to be present when the individual has contact with children</w:t>
      </w:r>
    </w:p>
    <w:p>
      <w:pPr>
        <w:pStyle w:val="4Bulletedcopyblue"/>
        <w:numPr>
          <w:ilvl w:val="0"/>
          <w:numId w:val="76"/>
        </w:numPr>
        <w:spacing w:after="0"/>
        <w:rPr>
          <w:rFonts w:asciiTheme="minorHAnsi" w:hAnsiTheme="minorHAnsi" w:cstheme="minorHAnsi"/>
          <w:sz w:val="22"/>
          <w:szCs w:val="22"/>
          <w:lang w:val="en-GB"/>
        </w:rPr>
      </w:pPr>
      <w:r>
        <w:rPr>
          <w:rFonts w:asciiTheme="minorHAnsi" w:hAnsiTheme="minorHAnsi" w:cstheme="minorHAnsi"/>
          <w:sz w:val="22"/>
          <w:szCs w:val="22"/>
          <w:lang w:val="en-GB"/>
        </w:rPr>
        <w:lastRenderedPageBreak/>
        <w:t>Redeploying the individual to alternative work in the school so that they do not have unsupervised access to children</w:t>
      </w:r>
    </w:p>
    <w:p>
      <w:pPr>
        <w:pStyle w:val="4Bulletedcopyblue"/>
        <w:numPr>
          <w:ilvl w:val="0"/>
          <w:numId w:val="76"/>
        </w:numPr>
        <w:spacing w:after="0"/>
        <w:rPr>
          <w:rFonts w:asciiTheme="minorHAnsi" w:hAnsiTheme="minorHAnsi" w:cstheme="minorHAnsi"/>
          <w:sz w:val="22"/>
          <w:szCs w:val="22"/>
          <w:lang w:val="en-GB"/>
        </w:rPr>
      </w:pPr>
      <w:r>
        <w:rPr>
          <w:rFonts w:asciiTheme="minorHAnsi" w:hAnsiTheme="minorHAnsi" w:cstheme="minorHAnsi"/>
          <w:sz w:val="22"/>
          <w:szCs w:val="22"/>
          <w:lang w:val="en-GB"/>
        </w:rPr>
        <w:t>Moving the child or children to classes where they will not come into contact with the individual, making it clear that this is not a punishment and parents/carers have been consulted</w:t>
      </w:r>
    </w:p>
    <w:p>
      <w:pPr>
        <w:pStyle w:val="4Bulletedcopyblue"/>
        <w:numPr>
          <w:ilvl w:val="0"/>
          <w:numId w:val="76"/>
        </w:numPr>
        <w:spacing w:after="0"/>
        <w:rPr>
          <w:rStyle w:val="1bodycopy10ptChar"/>
          <w:rFonts w:asciiTheme="minorHAnsi" w:hAnsiTheme="minorHAnsi" w:cstheme="minorHAnsi"/>
          <w:sz w:val="22"/>
          <w:szCs w:val="22"/>
          <w:lang w:val="en-GB"/>
        </w:rPr>
      </w:pPr>
      <w:r>
        <w:rPr>
          <w:rFonts w:asciiTheme="minorHAnsi" w:hAnsiTheme="minorHAnsi" w:cstheme="minorHAnsi"/>
          <w:sz w:val="22"/>
          <w:szCs w:val="22"/>
          <w:lang w:val="en-GB"/>
        </w:rPr>
        <w:t>Temporarily redeploying the individual to another role in a different location, for example to an alternative school or other work in the Trust, if this is possible.</w:t>
      </w:r>
    </w:p>
    <w:p>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t>If in doubt, the case manager will seek views from the school’s personnel adviser and the designated officer at the local authority, as well as the police and children’s social care where they have been involved.</w:t>
      </w:r>
    </w:p>
    <w:p>
      <w:pPr>
        <w:pStyle w:val="Subhead2"/>
        <w:spacing w:after="0"/>
        <w:rPr>
          <w:rFonts w:asciiTheme="minorHAnsi" w:hAnsiTheme="minorHAnsi" w:cstheme="minorHAnsi"/>
          <w:color w:val="auto"/>
          <w:sz w:val="22"/>
          <w:szCs w:val="22"/>
          <w:lang w:val="en-GB"/>
        </w:rPr>
      </w:pPr>
      <w:r>
        <w:rPr>
          <w:rFonts w:asciiTheme="minorHAnsi" w:hAnsiTheme="minorHAnsi" w:cstheme="minorHAnsi"/>
          <w:color w:val="auto"/>
          <w:sz w:val="22"/>
          <w:szCs w:val="22"/>
          <w:lang w:val="en-GB"/>
        </w:rPr>
        <w:t>Definitions for outcomes of allegation investigations</w:t>
      </w:r>
    </w:p>
    <w:p>
      <w:pPr>
        <w:pStyle w:val="4Bulletedcopyblue"/>
        <w:numPr>
          <w:ilvl w:val="0"/>
          <w:numId w:val="77"/>
        </w:numPr>
        <w:rPr>
          <w:rFonts w:asciiTheme="minorHAnsi" w:hAnsiTheme="minorHAnsi" w:cstheme="minorHAnsi"/>
          <w:sz w:val="22"/>
          <w:szCs w:val="22"/>
          <w:lang w:val="en-GB"/>
        </w:rPr>
      </w:pPr>
      <w:r>
        <w:rPr>
          <w:rFonts w:asciiTheme="minorHAnsi" w:hAnsiTheme="minorHAnsi" w:cstheme="minorHAnsi"/>
          <w:b/>
          <w:sz w:val="22"/>
          <w:szCs w:val="22"/>
          <w:lang w:val="en-GB"/>
        </w:rPr>
        <w:t>Substantiated:</w:t>
      </w:r>
      <w:r>
        <w:rPr>
          <w:rFonts w:asciiTheme="minorHAnsi" w:hAnsiTheme="minorHAnsi" w:cstheme="minorHAnsi"/>
          <w:sz w:val="22"/>
          <w:szCs w:val="22"/>
          <w:lang w:val="en-GB"/>
        </w:rPr>
        <w:t xml:space="preserve"> there is sufficient evidence to prove the allegation</w:t>
      </w:r>
    </w:p>
    <w:p>
      <w:pPr>
        <w:pStyle w:val="4Bulletedcopyblue"/>
        <w:numPr>
          <w:ilvl w:val="0"/>
          <w:numId w:val="77"/>
        </w:numPr>
        <w:rPr>
          <w:rFonts w:asciiTheme="minorHAnsi" w:hAnsiTheme="minorHAnsi" w:cstheme="minorHAnsi"/>
          <w:sz w:val="22"/>
          <w:szCs w:val="22"/>
          <w:lang w:val="en-GB"/>
        </w:rPr>
      </w:pPr>
      <w:r>
        <w:rPr>
          <w:rFonts w:asciiTheme="minorHAnsi" w:hAnsiTheme="minorHAnsi" w:cstheme="minorHAnsi"/>
          <w:b/>
          <w:sz w:val="22"/>
          <w:szCs w:val="22"/>
          <w:lang w:val="en-GB"/>
        </w:rPr>
        <w:t>Malicious:</w:t>
      </w:r>
      <w:r>
        <w:rPr>
          <w:rFonts w:asciiTheme="minorHAnsi" w:hAnsiTheme="minorHAnsi" w:cstheme="minorHAnsi"/>
          <w:sz w:val="22"/>
          <w:szCs w:val="22"/>
          <w:lang w:val="en-GB"/>
        </w:rPr>
        <w:t xml:space="preserve"> there is sufficient evidence to disprove the allegation and there has been a deliberate act to deceive, or to cause harm to the subject of the allegation</w:t>
      </w:r>
    </w:p>
    <w:p>
      <w:pPr>
        <w:pStyle w:val="4Bulletedcopyblue"/>
        <w:numPr>
          <w:ilvl w:val="0"/>
          <w:numId w:val="77"/>
        </w:numPr>
        <w:rPr>
          <w:rFonts w:asciiTheme="minorHAnsi" w:hAnsiTheme="minorHAnsi" w:cstheme="minorHAnsi"/>
          <w:sz w:val="22"/>
          <w:szCs w:val="22"/>
          <w:lang w:val="en-GB"/>
        </w:rPr>
      </w:pPr>
      <w:r>
        <w:rPr>
          <w:rFonts w:asciiTheme="minorHAnsi" w:hAnsiTheme="minorHAnsi" w:cstheme="minorHAnsi"/>
          <w:b/>
          <w:sz w:val="22"/>
          <w:szCs w:val="22"/>
          <w:lang w:val="en-GB"/>
        </w:rPr>
        <w:t>False:</w:t>
      </w:r>
      <w:r>
        <w:rPr>
          <w:rFonts w:asciiTheme="minorHAnsi" w:hAnsiTheme="minorHAnsi" w:cstheme="minorHAnsi"/>
          <w:sz w:val="22"/>
          <w:szCs w:val="22"/>
          <w:lang w:val="en-GB"/>
        </w:rPr>
        <w:t xml:space="preserve"> there is sufficient evidence to disprove the allegation</w:t>
      </w:r>
    </w:p>
    <w:p>
      <w:pPr>
        <w:pStyle w:val="4Bulletedcopyblue"/>
        <w:numPr>
          <w:ilvl w:val="0"/>
          <w:numId w:val="77"/>
        </w:numPr>
        <w:rPr>
          <w:rFonts w:asciiTheme="minorHAnsi" w:hAnsiTheme="minorHAnsi" w:cstheme="minorHAnsi"/>
          <w:sz w:val="22"/>
          <w:szCs w:val="22"/>
          <w:lang w:val="en-GB"/>
        </w:rPr>
      </w:pPr>
      <w:r>
        <w:rPr>
          <w:rFonts w:asciiTheme="minorHAnsi" w:hAnsiTheme="minorHAnsi" w:cstheme="minorHAnsi"/>
          <w:b/>
          <w:sz w:val="22"/>
          <w:szCs w:val="22"/>
          <w:lang w:val="en-GB"/>
        </w:rPr>
        <w:t>Unsubstantiated:</w:t>
      </w:r>
      <w:r>
        <w:rPr>
          <w:rFonts w:asciiTheme="minorHAnsi" w:hAnsiTheme="minorHAnsi" w:cstheme="minorHAnsi"/>
          <w:sz w:val="22"/>
          <w:szCs w:val="22"/>
          <w:lang w:val="en-GB"/>
        </w:rPr>
        <w:t xml:space="preserve"> there is insufficient evidence to either prove or disprove the allegation (this does not imply guilt or innocence)</w:t>
      </w:r>
    </w:p>
    <w:p>
      <w:pPr>
        <w:pStyle w:val="4Bulletedcopyblue"/>
        <w:numPr>
          <w:ilvl w:val="0"/>
          <w:numId w:val="77"/>
        </w:numPr>
        <w:rPr>
          <w:rFonts w:asciiTheme="minorHAnsi" w:hAnsiTheme="minorHAnsi" w:cstheme="minorHAnsi"/>
          <w:sz w:val="22"/>
          <w:szCs w:val="22"/>
          <w:lang w:val="en-GB"/>
        </w:rPr>
      </w:pPr>
      <w:r>
        <w:rPr>
          <w:rFonts w:asciiTheme="minorHAnsi" w:hAnsiTheme="minorHAnsi" w:cstheme="minorHAnsi"/>
          <w:b/>
          <w:sz w:val="22"/>
          <w:szCs w:val="22"/>
          <w:lang w:val="en-GB"/>
        </w:rPr>
        <w:t>Unfounded</w:t>
      </w:r>
      <w:r>
        <w:rPr>
          <w:rFonts w:asciiTheme="minorHAnsi" w:hAnsiTheme="minorHAnsi" w:cstheme="minorHAnsi"/>
          <w:sz w:val="22"/>
          <w:szCs w:val="22"/>
          <w:lang w:val="en-GB"/>
        </w:rPr>
        <w:t>: to reflect cases where there is no evidence or proper basis which supports the allegation being made</w:t>
      </w:r>
    </w:p>
    <w:p>
      <w:pPr>
        <w:pStyle w:val="Subhead2"/>
        <w:spacing w:after="0"/>
        <w:rPr>
          <w:rFonts w:asciiTheme="minorHAnsi" w:hAnsiTheme="minorHAnsi" w:cstheme="minorHAnsi"/>
          <w:color w:val="auto"/>
          <w:sz w:val="22"/>
          <w:szCs w:val="22"/>
          <w:lang w:val="en-GB"/>
        </w:rPr>
      </w:pPr>
      <w:r>
        <w:rPr>
          <w:rFonts w:asciiTheme="minorHAnsi" w:hAnsiTheme="minorHAnsi" w:cstheme="minorHAnsi"/>
          <w:color w:val="auto"/>
          <w:sz w:val="22"/>
          <w:szCs w:val="22"/>
          <w:lang w:val="en-GB"/>
        </w:rPr>
        <w:t>Procedure for dealing with allegations</w:t>
      </w:r>
    </w:p>
    <w:p>
      <w:pPr>
        <w:spacing w:after="0"/>
        <w:rPr>
          <w:rFonts w:asciiTheme="minorHAnsi" w:hAnsiTheme="minorHAnsi" w:cstheme="minorHAnsi"/>
        </w:rPr>
      </w:pPr>
      <w:r>
        <w:rPr>
          <w:rFonts w:asciiTheme="minorHAnsi" w:hAnsiTheme="minorHAnsi" w:cstheme="minorHAnsi"/>
        </w:rPr>
        <w:t>In the event of an allegation that meets the criteria above, the case manager will take the following steps:</w:t>
      </w:r>
    </w:p>
    <w:p>
      <w:pPr>
        <w:pStyle w:val="4Bulletedcopyblue"/>
        <w:numPr>
          <w:ilvl w:val="0"/>
          <w:numId w:val="78"/>
        </w:numPr>
        <w:spacing w:after="0"/>
        <w:rPr>
          <w:rFonts w:asciiTheme="minorHAnsi" w:hAnsiTheme="minorHAnsi" w:cstheme="minorHAnsi"/>
          <w:sz w:val="22"/>
          <w:szCs w:val="22"/>
          <w:lang w:val="en-GB"/>
        </w:rPr>
      </w:pPr>
      <w:r>
        <w:rPr>
          <w:rFonts w:asciiTheme="minorHAnsi" w:hAnsiTheme="minorHAnsi" w:cstheme="minorHAnsi"/>
          <w:sz w:val="22"/>
          <w:szCs w:val="22"/>
          <w:lang w:val="en-GB"/>
        </w:rPr>
        <w:t>Conduct basic enquiries in line with local procedures to establish the facts to help determine whether there is any foundation to the allegation before carrying on with the steps below</w:t>
      </w:r>
    </w:p>
    <w:p>
      <w:pPr>
        <w:pStyle w:val="4Bulletedcopyblue"/>
        <w:numPr>
          <w:ilvl w:val="0"/>
          <w:numId w:val="78"/>
        </w:numPr>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Pr>
          <w:rFonts w:asciiTheme="minorHAnsi" w:hAnsiTheme="minorHAnsi" w:cstheme="minorHAnsi"/>
          <w:i/>
          <w:sz w:val="22"/>
          <w:szCs w:val="22"/>
          <w:lang w:val="en-GB"/>
        </w:rPr>
        <w:t>before</w:t>
      </w:r>
      <w:r>
        <w:rPr>
          <w:rFonts w:asciiTheme="minorHAnsi" w:hAnsiTheme="minorHAnsi" w:cstheme="minorHAnsi"/>
          <w:sz w:val="22"/>
          <w:szCs w:val="22"/>
          <w:lang w:val="en-GB"/>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pPr>
        <w:pStyle w:val="4Bulletedcopyblue"/>
        <w:numPr>
          <w:ilvl w:val="0"/>
          <w:numId w:val="78"/>
        </w:numPr>
        <w:spacing w:after="0"/>
        <w:rPr>
          <w:rFonts w:asciiTheme="minorHAnsi" w:hAnsiTheme="minorHAnsi" w:cstheme="minorHAnsi"/>
          <w:sz w:val="22"/>
          <w:szCs w:val="22"/>
          <w:lang w:val="en-GB"/>
        </w:rPr>
      </w:pPr>
      <w:r>
        <w:rPr>
          <w:rFonts w:asciiTheme="minorHAnsi" w:hAnsiTheme="minorHAnsi" w:cstheme="minorHAnsi"/>
          <w:sz w:val="22"/>
          <w:szCs w:val="22"/>
          <w:lang w:val="en-GB"/>
        </w:rPr>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p>
    <w:p>
      <w:pPr>
        <w:pStyle w:val="4Bulletedcopyblue"/>
        <w:numPr>
          <w:ilvl w:val="0"/>
          <w:numId w:val="78"/>
        </w:numPr>
        <w:spacing w:after="0"/>
        <w:rPr>
          <w:rFonts w:asciiTheme="minorHAnsi" w:hAnsiTheme="minorHAnsi" w:cstheme="minorHAnsi"/>
          <w:sz w:val="22"/>
          <w:szCs w:val="22"/>
          <w:lang w:val="en-GB"/>
        </w:rPr>
      </w:pPr>
      <w:r>
        <w:rPr>
          <w:rFonts w:asciiTheme="minorHAnsi" w:hAnsiTheme="minorHAnsi" w:cstheme="minorHAnsi"/>
          <w:sz w:val="22"/>
          <w:szCs w:val="22"/>
          <w:lang w:val="en-GB"/>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pPr>
        <w:pStyle w:val="4Bulletedcopyblue"/>
        <w:numPr>
          <w:ilvl w:val="0"/>
          <w:numId w:val="78"/>
        </w:numPr>
        <w:spacing w:after="0"/>
        <w:rPr>
          <w:rFonts w:asciiTheme="minorHAnsi" w:hAnsiTheme="minorHAnsi" w:cstheme="minorHAnsi"/>
          <w:sz w:val="22"/>
          <w:szCs w:val="22"/>
          <w:lang w:val="en-GB"/>
        </w:rPr>
      </w:pPr>
      <w:r>
        <w:rPr>
          <w:rFonts w:asciiTheme="minorHAnsi" w:hAnsiTheme="minorHAnsi" w:cstheme="minorHAnsi"/>
          <w:sz w:val="22"/>
          <w:szCs w:val="22"/>
          <w:lang w:val="en-GB"/>
        </w:rPr>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pPr>
        <w:pStyle w:val="4Bulletedcopyblue"/>
        <w:numPr>
          <w:ilvl w:val="0"/>
          <w:numId w:val="78"/>
        </w:numPr>
        <w:spacing w:after="0"/>
        <w:rPr>
          <w:rFonts w:asciiTheme="minorHAnsi" w:hAnsiTheme="minorHAnsi" w:cstheme="minorHAnsi"/>
          <w:sz w:val="22"/>
          <w:szCs w:val="22"/>
          <w:lang w:val="en-GB"/>
        </w:rPr>
      </w:pPr>
      <w:r>
        <w:rPr>
          <w:rFonts w:asciiTheme="minorHAnsi" w:hAnsiTheme="minorHAnsi" w:cstheme="minorHAnsi"/>
          <w:b/>
          <w:sz w:val="22"/>
          <w:szCs w:val="22"/>
          <w:lang w:val="en-GB"/>
        </w:rPr>
        <w:t>If immediate suspension is considered necessary</w:t>
      </w:r>
      <w:r>
        <w:rPr>
          <w:rFonts w:asciiTheme="minorHAnsi" w:hAnsiTheme="minorHAnsi" w:cstheme="minorHAnsi"/>
          <w:sz w:val="22"/>
          <w:szCs w:val="22"/>
          <w:lang w:val="en-GB"/>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pPr>
        <w:pStyle w:val="4Bulletedcopyblue"/>
        <w:numPr>
          <w:ilvl w:val="0"/>
          <w:numId w:val="78"/>
        </w:numPr>
        <w:spacing w:after="0"/>
        <w:rPr>
          <w:rFonts w:asciiTheme="minorHAnsi" w:hAnsiTheme="minorHAnsi" w:cstheme="minorHAnsi"/>
          <w:sz w:val="22"/>
          <w:szCs w:val="22"/>
          <w:lang w:val="en-GB"/>
        </w:rPr>
      </w:pPr>
      <w:r>
        <w:rPr>
          <w:rFonts w:asciiTheme="minorHAnsi" w:hAnsiTheme="minorHAnsi" w:cstheme="minorHAnsi"/>
          <w:b/>
          <w:sz w:val="22"/>
          <w:szCs w:val="22"/>
          <w:lang w:val="en-GB"/>
        </w:rPr>
        <w:t xml:space="preserve">If it is decided that no further action is to be taken </w:t>
      </w:r>
      <w:r>
        <w:rPr>
          <w:rFonts w:asciiTheme="minorHAnsi" w:hAnsiTheme="minorHAnsi" w:cstheme="minorHAnsi"/>
          <w:sz w:val="22"/>
          <w:szCs w:val="22"/>
          <w:lang w:val="en-GB"/>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pPr>
        <w:pStyle w:val="4Bulletedcopyblue"/>
        <w:numPr>
          <w:ilvl w:val="0"/>
          <w:numId w:val="78"/>
        </w:numPr>
        <w:spacing w:after="0"/>
        <w:rPr>
          <w:rFonts w:asciiTheme="minorHAnsi" w:hAnsiTheme="minorHAnsi" w:cstheme="minorHAnsi"/>
          <w:sz w:val="22"/>
          <w:szCs w:val="22"/>
          <w:lang w:val="en-GB"/>
        </w:rPr>
      </w:pPr>
      <w:r>
        <w:rPr>
          <w:rFonts w:asciiTheme="minorHAnsi" w:hAnsiTheme="minorHAnsi" w:cstheme="minorHAnsi"/>
          <w:b/>
          <w:sz w:val="22"/>
          <w:szCs w:val="22"/>
          <w:lang w:val="en-GB"/>
        </w:rPr>
        <w:lastRenderedPageBreak/>
        <w:t>If it is decided that further action is needed</w:t>
      </w:r>
      <w:r>
        <w:rPr>
          <w:rFonts w:asciiTheme="minorHAnsi" w:hAnsiTheme="minorHAnsi" w:cstheme="minorHAnsi"/>
          <w:sz w:val="22"/>
          <w:szCs w:val="22"/>
          <w:lang w:val="en-GB"/>
        </w:rPr>
        <w:t>, take steps as agreed with the designated officer to initiate the appropriate action in school and/or liaise with the police and/or children’s social care services as appropriate</w:t>
      </w:r>
    </w:p>
    <w:p>
      <w:pPr>
        <w:pStyle w:val="4Bulletedcopyblue"/>
        <w:numPr>
          <w:ilvl w:val="0"/>
          <w:numId w:val="78"/>
        </w:numPr>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Provide effective support for the individual facing the allegation or concern, including appointing a named representative to keep them informed of the progress of the case and considering what other support is appropriate. The staff member will be advised to make contact with their union. They can also access a wealth of wellbeing support available through the school’s absence insurance. </w:t>
      </w:r>
    </w:p>
    <w:p>
      <w:pPr>
        <w:pStyle w:val="4Bulletedcopyblue"/>
        <w:numPr>
          <w:ilvl w:val="0"/>
          <w:numId w:val="78"/>
        </w:numPr>
        <w:spacing w:after="0"/>
        <w:rPr>
          <w:rFonts w:asciiTheme="minorHAnsi" w:hAnsiTheme="minorHAnsi" w:cstheme="minorHAnsi"/>
          <w:sz w:val="22"/>
          <w:szCs w:val="22"/>
          <w:lang w:val="en-GB"/>
        </w:rPr>
      </w:pPr>
      <w:r>
        <w:rPr>
          <w:rFonts w:asciiTheme="minorHAnsi" w:hAnsiTheme="minorHAnsi" w:cstheme="minorHAnsi"/>
          <w:sz w:val="22"/>
          <w:szCs w:val="22"/>
          <w:lang w:val="en-GB"/>
        </w:rPr>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pPr>
        <w:pStyle w:val="4Bulletedcopyblue"/>
        <w:numPr>
          <w:ilvl w:val="0"/>
          <w:numId w:val="78"/>
        </w:numPr>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Keep the parents or carers of the child/children involved informed of the progress of the case (only in relation to their child – no information will be shared regarding the staff member) </w:t>
      </w:r>
    </w:p>
    <w:p>
      <w:pPr>
        <w:pStyle w:val="4Bulletedcopyblue"/>
        <w:numPr>
          <w:ilvl w:val="0"/>
          <w:numId w:val="78"/>
        </w:numPr>
        <w:spacing w:after="0"/>
        <w:rPr>
          <w:rFonts w:asciiTheme="minorHAnsi" w:hAnsiTheme="minorHAnsi" w:cstheme="minorHAnsi"/>
          <w:sz w:val="22"/>
          <w:szCs w:val="22"/>
          <w:lang w:val="en-GB"/>
        </w:rPr>
      </w:pPr>
      <w:r>
        <w:rPr>
          <w:rFonts w:asciiTheme="minorHAnsi" w:hAnsiTheme="minorHAnsi" w:cstheme="minorHAnsi"/>
          <w:sz w:val="22"/>
          <w:szCs w:val="22"/>
          <w:lang w:val="en-GB"/>
        </w:rPr>
        <w:t>Make a referral to the DBS where it is thought that the individual facing the allegation or concern has engaged in conduct that harmed or is likely to harm a child, or if the individual otherwise poses a risk of harm to a child</w:t>
      </w:r>
    </w:p>
    <w:p>
      <w:pPr>
        <w:pStyle w:val="4Bulletedcopyblue"/>
        <w:numPr>
          <w:ilvl w:val="0"/>
          <w:numId w:val="78"/>
        </w:numPr>
        <w:spacing w:after="0"/>
        <w:rPr>
          <w:rFonts w:asciiTheme="minorHAnsi" w:hAnsiTheme="minorHAnsi" w:cstheme="minorHAnsi"/>
          <w:sz w:val="22"/>
          <w:szCs w:val="22"/>
          <w:lang w:val="en-GB"/>
        </w:rPr>
      </w:pPr>
      <w:r>
        <w:rPr>
          <w:rFonts w:asciiTheme="minorHAnsi" w:hAnsiTheme="minorHAnsi" w:cstheme="minorHAnsi"/>
          <w:sz w:val="22"/>
          <w:szCs w:val="22"/>
          <w:lang w:val="en-GB"/>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pPr>
        <w:pStyle w:val="4Bulletedcopyblue"/>
        <w:numPr>
          <w:ilvl w:val="0"/>
          <w:numId w:val="78"/>
        </w:numPr>
        <w:spacing w:after="0"/>
        <w:rPr>
          <w:rFonts w:asciiTheme="minorHAnsi" w:hAnsiTheme="minorHAnsi" w:cstheme="minorHAnsi"/>
          <w:sz w:val="22"/>
          <w:szCs w:val="22"/>
          <w:lang w:val="en-GB"/>
        </w:rPr>
      </w:pPr>
      <w:r>
        <w:rPr>
          <w:rFonts w:asciiTheme="minorHAnsi" w:hAnsiTheme="minorHAnsi" w:cstheme="minorHAnsi"/>
          <w:sz w:val="22"/>
          <w:szCs w:val="22"/>
          <w:lang w:val="en-GB"/>
        </w:rPr>
        <w:t>If the school is made aware that the secretary of state has made an interim prohibition order in respect of an individual, we will immediately suspend that individual from teaching, pending the findings of the investigation by the Teaching Regulation Agency.</w:t>
      </w:r>
    </w:p>
    <w:p>
      <w:pPr>
        <w:pStyle w:val="4Bulletedcopyblue"/>
        <w:numPr>
          <w:ilvl w:val="0"/>
          <w:numId w:val="78"/>
        </w:numPr>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Where the police are involved, wherever possible the </w:t>
      </w:r>
      <w:r>
        <w:rPr>
          <w:rStyle w:val="1bodycopy10ptChar"/>
          <w:rFonts w:asciiTheme="minorHAnsi" w:hAnsiTheme="minorHAnsi" w:cstheme="minorHAnsi"/>
          <w:sz w:val="22"/>
          <w:szCs w:val="22"/>
          <w:lang w:val="en-GB"/>
        </w:rPr>
        <w:t xml:space="preserve">school </w:t>
      </w:r>
      <w:r>
        <w:rPr>
          <w:rFonts w:asciiTheme="minorHAnsi" w:hAnsiTheme="minorHAnsi" w:cstheme="minorHAnsi"/>
          <w:sz w:val="22"/>
          <w:szCs w:val="22"/>
          <w:lang w:val="en-GB"/>
        </w:rPr>
        <w:t>will ask the police at the start of the investigation to obtain consent from the individuals involved to share their statements and evidence for use in the school’s disciplinary process, should this be required at a later point.</w:t>
      </w:r>
    </w:p>
    <w:p>
      <w:pPr>
        <w:pStyle w:val="1bodycopy10pt"/>
        <w:spacing w:after="0"/>
        <w:rPr>
          <w:rFonts w:asciiTheme="minorHAnsi" w:hAnsiTheme="minorHAnsi" w:cstheme="minorHAnsi"/>
          <w:b/>
          <w:sz w:val="22"/>
          <w:szCs w:val="22"/>
          <w:highlight w:val="yellow"/>
          <w:lang w:val="en-GB"/>
        </w:rPr>
      </w:pPr>
    </w:p>
    <w:p>
      <w:pPr>
        <w:pStyle w:val="1bodycopy10pt"/>
        <w:spacing w:after="0"/>
        <w:rPr>
          <w:rFonts w:asciiTheme="minorHAnsi" w:hAnsiTheme="minorHAnsi" w:cstheme="minorHAnsi"/>
          <w:b/>
          <w:sz w:val="22"/>
          <w:szCs w:val="22"/>
          <w:lang w:val="en-GB"/>
        </w:rPr>
      </w:pPr>
      <w:r>
        <w:rPr>
          <w:rFonts w:asciiTheme="minorHAnsi" w:hAnsiTheme="minorHAnsi" w:cstheme="minorHAnsi"/>
          <w:b/>
          <w:sz w:val="22"/>
          <w:szCs w:val="22"/>
          <w:lang w:val="en-GB"/>
        </w:rPr>
        <w:t xml:space="preserve">Additional considerations for supply teachers and all contracted staff </w:t>
      </w:r>
    </w:p>
    <w:p>
      <w:pPr>
        <w:pStyle w:val="4Bulletedcopyblue"/>
        <w:spacing w:after="0"/>
        <w:rPr>
          <w:rFonts w:asciiTheme="minorHAnsi" w:hAnsiTheme="minorHAnsi" w:cstheme="minorHAnsi"/>
          <w:sz w:val="22"/>
          <w:szCs w:val="22"/>
          <w:shd w:val="clear" w:color="auto" w:fill="FFFFFF"/>
          <w:lang w:val="en-GB"/>
        </w:rPr>
      </w:pPr>
      <w:r>
        <w:rPr>
          <w:rFonts w:asciiTheme="minorHAnsi" w:hAnsiTheme="minorHAnsi" w:cstheme="minorHAnsi"/>
          <w:sz w:val="22"/>
          <w:szCs w:val="22"/>
          <w:shd w:val="clear" w:color="auto" w:fill="FFFFFF"/>
          <w:lang w:val="en-GB"/>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pPr>
        <w:pStyle w:val="4Bulletedcopyblue"/>
        <w:numPr>
          <w:ilvl w:val="0"/>
          <w:numId w:val="79"/>
        </w:numPr>
        <w:spacing w:after="0"/>
        <w:rPr>
          <w:rFonts w:asciiTheme="minorHAnsi" w:hAnsiTheme="minorHAnsi" w:cstheme="minorHAnsi"/>
          <w:sz w:val="22"/>
          <w:szCs w:val="22"/>
          <w:shd w:val="clear" w:color="auto" w:fill="FFFFFF"/>
          <w:lang w:val="en-GB"/>
        </w:rPr>
      </w:pPr>
      <w:r>
        <w:rPr>
          <w:rFonts w:asciiTheme="minorHAnsi" w:hAnsiTheme="minorHAnsi" w:cstheme="minorHAnsi"/>
          <w:sz w:val="22"/>
          <w:szCs w:val="22"/>
          <w:shd w:val="clear" w:color="auto" w:fill="FFFFFF"/>
          <w:lang w:val="en-GB"/>
        </w:rPr>
        <w:t>We will not decide to stop using an individual due to safeguarding concerns without finding out the facts and liaising with our LADO to determine a suitable outcome</w:t>
      </w:r>
    </w:p>
    <w:p>
      <w:pPr>
        <w:pStyle w:val="4Bulletedcopyblue"/>
        <w:numPr>
          <w:ilvl w:val="0"/>
          <w:numId w:val="79"/>
        </w:numPr>
        <w:spacing w:after="0"/>
        <w:rPr>
          <w:rFonts w:asciiTheme="minorHAnsi" w:hAnsiTheme="minorHAnsi" w:cstheme="minorHAnsi"/>
          <w:sz w:val="22"/>
          <w:szCs w:val="22"/>
          <w:shd w:val="clear" w:color="auto" w:fill="FFFFFF"/>
          <w:lang w:val="en-GB"/>
        </w:rPr>
      </w:pPr>
      <w:r>
        <w:rPr>
          <w:rFonts w:asciiTheme="minorHAnsi" w:hAnsiTheme="minorHAnsi" w:cstheme="minorHAnsi"/>
          <w:sz w:val="22"/>
          <w:szCs w:val="22"/>
          <w:shd w:val="clear" w:color="auto" w:fill="FFFFFF"/>
          <w:lang w:val="en-GB"/>
        </w:rPr>
        <w:t>The governing board will discuss with the agency whether it is appropriate to suspend the individual, or redeploy them to another part of the school, while the school carries out the investigation</w:t>
      </w:r>
    </w:p>
    <w:p>
      <w:pPr>
        <w:pStyle w:val="4Bulletedcopyblue"/>
        <w:numPr>
          <w:ilvl w:val="0"/>
          <w:numId w:val="79"/>
        </w:numPr>
        <w:spacing w:after="0"/>
        <w:rPr>
          <w:rFonts w:asciiTheme="minorHAnsi" w:hAnsiTheme="minorHAnsi" w:cstheme="minorHAnsi"/>
          <w:sz w:val="22"/>
          <w:szCs w:val="22"/>
          <w:lang w:val="en-GB"/>
        </w:rPr>
      </w:pPr>
      <w:r>
        <w:rPr>
          <w:rFonts w:asciiTheme="minorHAnsi" w:hAnsiTheme="minorHAnsi" w:cstheme="minorHAnsi"/>
          <w:sz w:val="22"/>
          <w:szCs w:val="22"/>
          <w:shd w:val="clear" w:color="auto" w:fill="FFFFFF"/>
          <w:lang w:val="en-GB"/>
        </w:rPr>
        <w:t>We will involve the agency fully, but the school will take the lead in collecting the necessary information and providing it to the LADO as required</w:t>
      </w:r>
    </w:p>
    <w:p>
      <w:pPr>
        <w:pStyle w:val="4Bulletedcopyblue"/>
        <w:numPr>
          <w:ilvl w:val="0"/>
          <w:numId w:val="79"/>
        </w:numPr>
        <w:spacing w:after="0"/>
        <w:rPr>
          <w:rFonts w:asciiTheme="minorHAnsi" w:hAnsiTheme="minorHAnsi" w:cstheme="minorHAnsi"/>
          <w:sz w:val="22"/>
          <w:szCs w:val="22"/>
          <w:lang w:val="en-GB"/>
        </w:rPr>
      </w:pPr>
      <w:r>
        <w:rPr>
          <w:rFonts w:asciiTheme="minorHAnsi" w:hAnsiTheme="minorHAnsi" w:cstheme="minorHAnsi"/>
          <w:sz w:val="22"/>
          <w:szCs w:val="22"/>
          <w:shd w:val="clear" w:color="auto" w:fill="FFFFFF"/>
          <w:lang w:val="en-GB"/>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pPr>
        <w:pStyle w:val="1bodycopy10pt"/>
        <w:spacing w:after="0"/>
        <w:rPr>
          <w:rFonts w:asciiTheme="minorHAnsi" w:hAnsiTheme="minorHAnsi" w:cstheme="minorHAnsi"/>
          <w:sz w:val="22"/>
          <w:szCs w:val="22"/>
          <w:lang w:val="en-GB"/>
        </w:rPr>
      </w:pPr>
      <w:r>
        <w:rPr>
          <w:rFonts w:asciiTheme="minorHAnsi" w:hAnsiTheme="minorHAnsi" w:cstheme="minorHAnsi"/>
          <w:sz w:val="22"/>
          <w:szCs w:val="22"/>
          <w:shd w:val="clear" w:color="auto" w:fill="FFFFFF"/>
          <w:lang w:val="en-GB"/>
        </w:rPr>
        <w:t>When using an agency, we will inform them of our process for managing allegations, and keep them updated about our policies as necessary, and will invite the agency's HR manager or equivalent to meetings as appropriate.</w:t>
      </w:r>
    </w:p>
    <w:p>
      <w:pPr>
        <w:pStyle w:val="Subhead2"/>
        <w:rPr>
          <w:color w:val="auto"/>
          <w:lang w:val="en-GB"/>
        </w:rPr>
      </w:pPr>
      <w:r>
        <w:rPr>
          <w:color w:val="auto"/>
          <w:lang w:val="en-GB"/>
        </w:rPr>
        <w:t>Timescales</w:t>
      </w:r>
    </w:p>
    <w:p>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t>We will deal with all allegations as quickly and effectively as possible and will endeavour to comply with the following timescales, where reasonably practicable:</w:t>
      </w:r>
    </w:p>
    <w:p>
      <w:pPr>
        <w:pStyle w:val="4Bulletedcopyblue"/>
        <w:numPr>
          <w:ilvl w:val="0"/>
          <w:numId w:val="80"/>
        </w:numPr>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Any cases where it is clear immediately that the allegation is unsubstantiated or malicious should be resolved within 1 week </w:t>
      </w:r>
    </w:p>
    <w:p>
      <w:pPr>
        <w:pStyle w:val="4Bulletedcopyblue"/>
        <w:numPr>
          <w:ilvl w:val="0"/>
          <w:numId w:val="80"/>
        </w:numPr>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If the nature of an allegation does not require formal disciplinary action, appropriate action should be taken within 3 working days </w:t>
      </w:r>
    </w:p>
    <w:p>
      <w:pPr>
        <w:pStyle w:val="4Bulletedcopyblue"/>
        <w:numPr>
          <w:ilvl w:val="0"/>
          <w:numId w:val="80"/>
        </w:numPr>
        <w:spacing w:after="0"/>
        <w:rPr>
          <w:rFonts w:asciiTheme="minorHAnsi" w:hAnsiTheme="minorHAnsi" w:cstheme="minorHAnsi"/>
          <w:sz w:val="22"/>
          <w:szCs w:val="22"/>
          <w:lang w:val="en-GB"/>
        </w:rPr>
      </w:pPr>
      <w:r>
        <w:rPr>
          <w:rFonts w:asciiTheme="minorHAnsi" w:hAnsiTheme="minorHAnsi" w:cstheme="minorHAnsi"/>
          <w:sz w:val="22"/>
          <w:szCs w:val="22"/>
          <w:lang w:val="en-GB"/>
        </w:rPr>
        <w:lastRenderedPageBreak/>
        <w:t xml:space="preserve">If a disciplinary hearing is required and can be held without further investigation, this should be held within 15 working days </w:t>
      </w:r>
    </w:p>
    <w:p>
      <w:pPr>
        <w:spacing w:before="120" w:after="0"/>
        <w:rPr>
          <w:rFonts w:asciiTheme="minorHAnsi" w:eastAsia="Arial" w:hAnsiTheme="minorHAnsi" w:cstheme="minorHAnsi"/>
        </w:rPr>
      </w:pPr>
      <w:r>
        <w:rPr>
          <w:rFonts w:asciiTheme="minorHAnsi" w:eastAsia="Arial" w:hAnsiTheme="minorHAnsi" w:cstheme="minorHAnsi"/>
        </w:rPr>
        <w:t xml:space="preserve">However, these are objectives only and where they are not met, we will </w:t>
      </w:r>
      <w:proofErr w:type="spellStart"/>
      <w:r>
        <w:rPr>
          <w:rFonts w:asciiTheme="minorHAnsi" w:eastAsia="Arial" w:hAnsiTheme="minorHAnsi" w:cstheme="minorHAnsi"/>
        </w:rPr>
        <w:t>endeavour</w:t>
      </w:r>
      <w:proofErr w:type="spellEnd"/>
      <w:r>
        <w:rPr>
          <w:rFonts w:asciiTheme="minorHAnsi" w:eastAsia="Arial" w:hAnsiTheme="minorHAnsi" w:cstheme="minorHAnsi"/>
        </w:rPr>
        <w:t xml:space="preserve"> to take the required action as soon as possible thereafter. </w:t>
      </w:r>
    </w:p>
    <w:p>
      <w:pPr>
        <w:pStyle w:val="Subhead2"/>
        <w:rPr>
          <w:lang w:val="en-GB"/>
        </w:rPr>
      </w:pPr>
      <w:r>
        <w:rPr>
          <w:lang w:val="en-GB"/>
        </w:rPr>
        <w:t>Specific Actions</w:t>
      </w:r>
    </w:p>
    <w:p>
      <w:pPr>
        <w:spacing w:after="0"/>
        <w:rPr>
          <w:rFonts w:asciiTheme="minorHAnsi" w:hAnsiTheme="minorHAnsi" w:cstheme="minorHAnsi"/>
          <w:b/>
        </w:rPr>
      </w:pPr>
      <w:r>
        <w:rPr>
          <w:rFonts w:asciiTheme="minorHAnsi" w:hAnsiTheme="minorHAnsi" w:cstheme="minorHAnsi"/>
          <w:b/>
        </w:rPr>
        <w:t>Action following a criminal investigation or prosecution</w:t>
      </w:r>
    </w:p>
    <w:p>
      <w:pPr>
        <w:spacing w:after="0"/>
        <w:rPr>
          <w:rFonts w:asciiTheme="minorHAnsi" w:hAnsiTheme="minorHAnsi" w:cstheme="minorHAnsi"/>
        </w:rPr>
      </w:pPr>
      <w:r>
        <w:rPr>
          <w:rFonts w:asciiTheme="minorHAnsi" w:hAnsiTheme="minorHAnsi" w:cstheme="minorHAnsi"/>
        </w:rPr>
        <w:t>The case manager will discuss with the local authority’s designated officer whether any further action, including disciplinary action, is appropriate and, if so, how to proceed, taking into account information provided by the police and/or children’s social care services.</w:t>
      </w:r>
    </w:p>
    <w:p>
      <w:pPr>
        <w:rPr>
          <w:rFonts w:asciiTheme="minorHAnsi" w:hAnsiTheme="minorHAnsi" w:cstheme="minorHAnsi"/>
          <w:b/>
        </w:rPr>
      </w:pPr>
    </w:p>
    <w:p>
      <w:pPr>
        <w:spacing w:before="120" w:after="120"/>
        <w:rPr>
          <w:rFonts w:asciiTheme="minorHAnsi" w:hAnsiTheme="minorHAnsi" w:cstheme="minorHAnsi"/>
          <w:b/>
        </w:rPr>
      </w:pPr>
      <w:r>
        <w:rPr>
          <w:rFonts w:asciiTheme="minorHAnsi" w:hAnsiTheme="minorHAnsi" w:cstheme="minorHAnsi"/>
          <w:b/>
        </w:rPr>
        <w:t>Conclusion of a case where the allegation is substantiated</w:t>
      </w:r>
    </w:p>
    <w:p>
      <w:pPr>
        <w:spacing w:before="120" w:after="120"/>
        <w:rPr>
          <w:rFonts w:asciiTheme="minorHAnsi" w:hAnsiTheme="minorHAnsi" w:cstheme="minorHAnsi"/>
        </w:rPr>
      </w:pPr>
      <w:r>
        <w:rPr>
          <w:rFonts w:asciiTheme="minorHAnsi" w:hAnsiTheme="minorHAnsi" w:cstheme="minorHAnsi"/>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pPr>
        <w:rPr>
          <w:rFonts w:asciiTheme="minorHAnsi" w:hAnsiTheme="minorHAnsi" w:cstheme="minorHAnsi"/>
        </w:rPr>
      </w:pPr>
      <w:r>
        <w:rPr>
          <w:rFonts w:asciiTheme="minorHAnsi" w:hAnsiTheme="minorHAnsi" w:cstheme="minorHAnsi"/>
        </w:rPr>
        <w:t>If the individual concerned is a member of teaching staff, the school will consider whether to refer the matter to the Teaching Regulation Agency to consider prohibiting the individual from teaching.</w:t>
      </w:r>
    </w:p>
    <w:p>
      <w:pPr>
        <w:spacing w:after="0"/>
        <w:rPr>
          <w:rFonts w:asciiTheme="minorHAnsi" w:hAnsiTheme="minorHAnsi" w:cstheme="minorHAnsi"/>
          <w:b/>
        </w:rPr>
      </w:pPr>
      <w:r>
        <w:rPr>
          <w:rFonts w:asciiTheme="minorHAnsi" w:hAnsiTheme="minorHAnsi" w:cstheme="minorHAnsi"/>
          <w:b/>
        </w:rPr>
        <w:t>Individuals returning to work after suspension</w:t>
      </w:r>
    </w:p>
    <w:p>
      <w:pPr>
        <w:spacing w:after="0"/>
        <w:rPr>
          <w:rFonts w:asciiTheme="minorHAnsi" w:hAnsiTheme="minorHAnsi" w:cstheme="minorHAnsi"/>
        </w:rPr>
      </w:pPr>
      <w:r>
        <w:rPr>
          <w:rFonts w:asciiTheme="minorHAnsi" w:hAnsiTheme="minorHAnsi" w:cstheme="minorHAnsi"/>
        </w:rPr>
        <w:t>If it is decided on the conclusion of a case that an individual who has been suspended can return to work, the case manager will consider how best to facilitate this.</w:t>
      </w:r>
    </w:p>
    <w:p>
      <w:pPr>
        <w:spacing w:after="0"/>
        <w:rPr>
          <w:rFonts w:asciiTheme="minorHAnsi" w:hAnsiTheme="minorHAnsi" w:cstheme="minorHAnsi"/>
        </w:rPr>
      </w:pPr>
      <w:r>
        <w:rPr>
          <w:rFonts w:asciiTheme="minorHAnsi" w:hAnsiTheme="minorHAnsi" w:cstheme="minorHAnsi"/>
        </w:rPr>
        <w:t>The case manager will also consider how best to manage the individual’s contact with the child or children who made the allegation, if they are still attending the school.</w:t>
      </w:r>
    </w:p>
    <w:p>
      <w:pPr>
        <w:spacing w:after="0"/>
        <w:rPr>
          <w:rFonts w:asciiTheme="minorHAnsi" w:hAnsiTheme="minorHAnsi" w:cstheme="minorHAnsi"/>
          <w:b/>
        </w:rPr>
      </w:pPr>
    </w:p>
    <w:p>
      <w:pPr>
        <w:spacing w:after="0"/>
        <w:rPr>
          <w:rFonts w:asciiTheme="minorHAnsi" w:hAnsiTheme="minorHAnsi" w:cstheme="minorHAnsi"/>
          <w:b/>
        </w:rPr>
      </w:pPr>
      <w:r>
        <w:rPr>
          <w:rFonts w:asciiTheme="minorHAnsi" w:hAnsiTheme="minorHAnsi" w:cstheme="minorHAnsi"/>
          <w:b/>
        </w:rPr>
        <w:t>Unsubstantiated, unfounded, false or malicious reports</w:t>
      </w:r>
    </w:p>
    <w:p>
      <w:pPr>
        <w:spacing w:after="0"/>
        <w:rPr>
          <w:rFonts w:asciiTheme="minorHAnsi" w:hAnsiTheme="minorHAnsi" w:cstheme="minorHAnsi"/>
        </w:rPr>
      </w:pPr>
      <w:r>
        <w:rPr>
          <w:rFonts w:asciiTheme="minorHAnsi" w:hAnsiTheme="minorHAnsi" w:cstheme="minorHAnsi"/>
        </w:rPr>
        <w:t xml:space="preserve">If a report is: </w:t>
      </w:r>
    </w:p>
    <w:p>
      <w:pPr>
        <w:pStyle w:val="4Bulletedcopyblue"/>
        <w:numPr>
          <w:ilvl w:val="0"/>
          <w:numId w:val="81"/>
        </w:numPr>
        <w:spacing w:after="0"/>
        <w:rPr>
          <w:rFonts w:asciiTheme="minorHAnsi" w:hAnsiTheme="minorHAnsi" w:cstheme="minorHAnsi"/>
          <w:sz w:val="22"/>
          <w:szCs w:val="22"/>
          <w:lang w:val="en-GB"/>
        </w:rPr>
      </w:pPr>
      <w:r>
        <w:rPr>
          <w:rFonts w:asciiTheme="minorHAnsi" w:hAnsiTheme="minorHAnsi" w:cstheme="minorHAnsi"/>
          <w:sz w:val="22"/>
          <w:szCs w:val="22"/>
          <w:lang w:val="en-GB"/>
        </w:rPr>
        <w:t>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w:t>
      </w:r>
    </w:p>
    <w:p>
      <w:pPr>
        <w:pStyle w:val="4Bulletedcopyblue"/>
        <w:numPr>
          <w:ilvl w:val="0"/>
          <w:numId w:val="81"/>
        </w:numPr>
        <w:spacing w:after="0"/>
        <w:rPr>
          <w:rFonts w:asciiTheme="minorHAnsi" w:hAnsiTheme="minorHAnsi" w:cstheme="minorHAnsi"/>
          <w:sz w:val="22"/>
          <w:szCs w:val="22"/>
          <w:lang w:val="en-GB"/>
        </w:rPr>
      </w:pPr>
      <w:r>
        <w:rPr>
          <w:rFonts w:asciiTheme="minorHAnsi" w:hAnsiTheme="minorHAnsi" w:cstheme="minorHAnsi"/>
          <w:sz w:val="22"/>
          <w:szCs w:val="22"/>
          <w:lang w:val="en-GB"/>
        </w:rPr>
        <w:t>Shown to be deliberately invented, or malicious, the school will consider whether any disciplinary action is appropriate against the individual(s) who made it</w:t>
      </w:r>
    </w:p>
    <w:p>
      <w:pPr>
        <w:pStyle w:val="4Bulletedcopyblue"/>
        <w:spacing w:after="0"/>
        <w:ind w:left="340"/>
        <w:rPr>
          <w:rFonts w:asciiTheme="minorHAnsi" w:hAnsiTheme="minorHAnsi" w:cstheme="minorHAnsi"/>
          <w:sz w:val="22"/>
          <w:szCs w:val="22"/>
          <w:lang w:val="en-GB"/>
        </w:rPr>
      </w:pPr>
    </w:p>
    <w:p>
      <w:pPr>
        <w:spacing w:after="0"/>
        <w:rPr>
          <w:rFonts w:asciiTheme="minorHAnsi" w:hAnsiTheme="minorHAnsi" w:cstheme="minorHAnsi"/>
          <w:b/>
        </w:rPr>
      </w:pPr>
      <w:r>
        <w:rPr>
          <w:rFonts w:asciiTheme="minorHAnsi" w:hAnsiTheme="minorHAnsi" w:cstheme="minorHAnsi"/>
          <w:b/>
        </w:rPr>
        <w:t>Unsubstantiated, unfounded, false or malicious allegations</w:t>
      </w:r>
    </w:p>
    <w:p>
      <w:pPr>
        <w:spacing w:after="0"/>
        <w:rPr>
          <w:rFonts w:asciiTheme="minorHAnsi" w:hAnsiTheme="minorHAnsi" w:cstheme="minorHAnsi"/>
        </w:rPr>
      </w:pPr>
      <w:r>
        <w:rPr>
          <w:rFonts w:asciiTheme="minorHAnsi" w:hAnsiTheme="minorHAnsi" w:cstheme="minorHAnsi"/>
        </w:rPr>
        <w:t>If an allegation is:</w:t>
      </w:r>
    </w:p>
    <w:p>
      <w:pPr>
        <w:pStyle w:val="4Bulletedcopyblue"/>
        <w:numPr>
          <w:ilvl w:val="0"/>
          <w:numId w:val="82"/>
        </w:numPr>
        <w:spacing w:after="0"/>
        <w:rPr>
          <w:rFonts w:asciiTheme="minorHAnsi" w:hAnsiTheme="minorHAnsi" w:cstheme="minorHAnsi"/>
          <w:sz w:val="22"/>
          <w:szCs w:val="22"/>
          <w:lang w:val="en-GB"/>
        </w:rPr>
      </w:pPr>
      <w:r>
        <w:rPr>
          <w:rFonts w:asciiTheme="minorHAnsi" w:hAnsiTheme="minorHAnsi" w:cstheme="minorHAnsi"/>
          <w:sz w:val="22"/>
          <w:szCs w:val="22"/>
          <w:lang w:val="en-GB"/>
        </w:rPr>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children’s social care may be appropriate</w:t>
      </w:r>
    </w:p>
    <w:p>
      <w:pPr>
        <w:pStyle w:val="4Bulletedcopyblue"/>
        <w:numPr>
          <w:ilvl w:val="0"/>
          <w:numId w:val="82"/>
        </w:numPr>
        <w:rPr>
          <w:rFonts w:asciiTheme="minorHAnsi" w:hAnsiTheme="minorHAnsi" w:cstheme="minorHAnsi"/>
          <w:sz w:val="22"/>
          <w:szCs w:val="22"/>
          <w:lang w:val="en-GB"/>
        </w:rPr>
      </w:pPr>
      <w:r>
        <w:rPr>
          <w:rFonts w:asciiTheme="minorHAnsi" w:hAnsiTheme="minorHAnsi" w:cstheme="minorHAnsi"/>
          <w:sz w:val="22"/>
          <w:szCs w:val="22"/>
          <w:lang w:val="en-GB"/>
        </w:rPr>
        <w:t>Shown to be deliberately invented, or malicious, the school will consider whether any disciplinary action is appropriate against the individual(s) who made it</w:t>
      </w:r>
    </w:p>
    <w:p>
      <w:pPr>
        <w:pStyle w:val="Subhead2"/>
        <w:tabs>
          <w:tab w:val="left" w:pos="6511"/>
        </w:tabs>
        <w:spacing w:after="0"/>
        <w:rPr>
          <w:rFonts w:asciiTheme="minorHAnsi" w:hAnsiTheme="minorHAnsi" w:cstheme="minorHAnsi"/>
          <w:sz w:val="22"/>
          <w:szCs w:val="22"/>
          <w:lang w:val="en-GB"/>
        </w:rPr>
      </w:pPr>
      <w:r>
        <w:rPr>
          <w:rFonts w:asciiTheme="minorHAnsi" w:hAnsiTheme="minorHAnsi" w:cstheme="minorHAnsi"/>
          <w:color w:val="auto"/>
          <w:sz w:val="22"/>
          <w:szCs w:val="22"/>
          <w:lang w:val="en-GB"/>
        </w:rPr>
        <w:t>Confidentiality and information sharing</w:t>
      </w:r>
      <w:r>
        <w:rPr>
          <w:rFonts w:asciiTheme="minorHAnsi" w:hAnsiTheme="minorHAnsi" w:cstheme="minorHAnsi"/>
          <w:sz w:val="22"/>
          <w:szCs w:val="22"/>
          <w:lang w:val="en-GB"/>
        </w:rPr>
        <w:tab/>
      </w:r>
    </w:p>
    <w:p>
      <w:pPr>
        <w:rPr>
          <w:rFonts w:asciiTheme="minorHAnsi" w:hAnsiTheme="minorHAnsi" w:cstheme="minorHAnsi"/>
        </w:rPr>
      </w:pPr>
      <w:r>
        <w:rPr>
          <w:rFonts w:asciiTheme="minorHAnsi" w:hAnsiTheme="minorHAnsi" w:cstheme="minorHAnsi"/>
        </w:rPr>
        <w:t>The school will make every effort to maintain confidentiality and guard against unwanted publicity while an allegation is being investigated or considered.</w:t>
      </w:r>
    </w:p>
    <w:p>
      <w:pPr>
        <w:spacing w:after="0"/>
        <w:rPr>
          <w:rFonts w:asciiTheme="minorHAnsi" w:hAnsiTheme="minorHAnsi" w:cstheme="minorHAnsi"/>
        </w:rPr>
      </w:pPr>
      <w:r>
        <w:rPr>
          <w:rFonts w:asciiTheme="minorHAnsi" w:hAnsiTheme="minorHAnsi" w:cstheme="minorHAnsi"/>
        </w:rPr>
        <w:t>The case manager will take advice from the LADO, police and children’s social care services, as appropriate, to agree:</w:t>
      </w:r>
    </w:p>
    <w:p>
      <w:pPr>
        <w:pStyle w:val="ListParagraph"/>
        <w:numPr>
          <w:ilvl w:val="0"/>
          <w:numId w:val="83"/>
        </w:numPr>
        <w:spacing w:after="0" w:line="240" w:lineRule="auto"/>
        <w:rPr>
          <w:rFonts w:asciiTheme="minorHAnsi" w:hAnsiTheme="minorHAnsi" w:cstheme="minorHAnsi"/>
        </w:rPr>
      </w:pPr>
      <w:r>
        <w:rPr>
          <w:rFonts w:asciiTheme="minorHAnsi" w:hAnsiTheme="minorHAnsi" w:cstheme="minorHAnsi"/>
        </w:rPr>
        <w:t>Who needs to know about the allegation and what information can be shared</w:t>
      </w:r>
    </w:p>
    <w:p>
      <w:pPr>
        <w:pStyle w:val="ListParagraph"/>
        <w:numPr>
          <w:ilvl w:val="0"/>
          <w:numId w:val="83"/>
        </w:numPr>
        <w:spacing w:after="0" w:line="240" w:lineRule="auto"/>
        <w:rPr>
          <w:rFonts w:asciiTheme="minorHAnsi" w:hAnsiTheme="minorHAnsi" w:cstheme="minorHAnsi"/>
        </w:rPr>
      </w:pPr>
      <w:r>
        <w:rPr>
          <w:rFonts w:asciiTheme="minorHAnsi" w:hAnsiTheme="minorHAnsi" w:cstheme="minorHAnsi"/>
        </w:rPr>
        <w:t xml:space="preserve">How to manage speculation, leaks and gossip, including how to make parents or </w:t>
      </w:r>
      <w:proofErr w:type="spellStart"/>
      <w:r>
        <w:rPr>
          <w:rFonts w:asciiTheme="minorHAnsi" w:hAnsiTheme="minorHAnsi" w:cstheme="minorHAnsi"/>
        </w:rPr>
        <w:t>carers</w:t>
      </w:r>
      <w:proofErr w:type="spellEnd"/>
      <w:r>
        <w:rPr>
          <w:rFonts w:asciiTheme="minorHAnsi" w:hAnsiTheme="minorHAnsi" w:cstheme="minorHAnsi"/>
        </w:rPr>
        <w:t xml:space="preserve"> of a child/children involved aware of their obligations with respect to confidentiality </w:t>
      </w:r>
    </w:p>
    <w:p>
      <w:pPr>
        <w:pStyle w:val="ListParagraph"/>
        <w:numPr>
          <w:ilvl w:val="0"/>
          <w:numId w:val="83"/>
        </w:numPr>
        <w:spacing w:after="0" w:line="240" w:lineRule="auto"/>
        <w:rPr>
          <w:rFonts w:asciiTheme="minorHAnsi" w:hAnsiTheme="minorHAnsi" w:cstheme="minorHAnsi"/>
        </w:rPr>
      </w:pPr>
      <w:r>
        <w:rPr>
          <w:rFonts w:asciiTheme="minorHAnsi" w:hAnsiTheme="minorHAnsi" w:cstheme="minorHAnsi"/>
        </w:rPr>
        <w:lastRenderedPageBreak/>
        <w:t>What, if any, information can be reasonably given to the wider community to reduce speculation</w:t>
      </w:r>
    </w:p>
    <w:p>
      <w:pPr>
        <w:pStyle w:val="ListParagraph"/>
        <w:numPr>
          <w:ilvl w:val="0"/>
          <w:numId w:val="83"/>
        </w:numPr>
        <w:spacing w:after="0" w:line="240" w:lineRule="auto"/>
        <w:rPr>
          <w:rFonts w:asciiTheme="minorHAnsi" w:hAnsiTheme="minorHAnsi" w:cstheme="minorHAnsi"/>
        </w:rPr>
      </w:pPr>
      <w:r>
        <w:rPr>
          <w:rFonts w:asciiTheme="minorHAnsi" w:hAnsiTheme="minorHAnsi" w:cstheme="minorHAnsi"/>
        </w:rPr>
        <w:t>How to manage press interest if, and when, it arises</w:t>
      </w:r>
    </w:p>
    <w:p>
      <w:pPr>
        <w:pStyle w:val="Subhead2"/>
        <w:spacing w:after="0"/>
        <w:rPr>
          <w:rFonts w:asciiTheme="minorHAnsi" w:hAnsiTheme="minorHAnsi" w:cstheme="minorHAnsi"/>
          <w:color w:val="auto"/>
          <w:sz w:val="22"/>
          <w:szCs w:val="22"/>
          <w:lang w:val="en-GB"/>
        </w:rPr>
      </w:pPr>
      <w:r>
        <w:rPr>
          <w:rFonts w:asciiTheme="minorHAnsi" w:hAnsiTheme="minorHAnsi" w:cstheme="minorHAnsi"/>
          <w:color w:val="auto"/>
          <w:sz w:val="22"/>
          <w:szCs w:val="22"/>
          <w:lang w:val="en-GB"/>
        </w:rPr>
        <w:t>Record-keeping</w:t>
      </w:r>
    </w:p>
    <w:p>
      <w:pPr>
        <w:rPr>
          <w:rFonts w:asciiTheme="minorHAnsi" w:hAnsiTheme="minorHAnsi" w:cstheme="minorHAnsi"/>
        </w:rPr>
      </w:pPr>
      <w:r>
        <w:rPr>
          <w:rFonts w:asciiTheme="minorHAnsi" w:hAnsiTheme="minorHAnsi" w:cstheme="minorHAnsi"/>
        </w:rPr>
        <w:t xml:space="preserve">The case manager will maintain clear records about any case where the allegation or concern meets the criteria above and store them on the individual’s confidential personnel file for the duration of the case. </w:t>
      </w:r>
    </w:p>
    <w:p>
      <w:pPr>
        <w:rPr>
          <w:rFonts w:asciiTheme="minorHAnsi" w:hAnsiTheme="minorHAnsi" w:cstheme="minorHAnsi"/>
        </w:rPr>
      </w:pPr>
      <w:r>
        <w:rPr>
          <w:rFonts w:asciiTheme="minorHAnsi" w:hAnsiTheme="minorHAnsi" w:cstheme="minorHAnsi"/>
        </w:rPr>
        <w:t>The records of any allegation that, following an investigation, is found to be malicious or false will be deleted from the individual’s personnel file (unless the individual consents for the records to be retained on the file).</w:t>
      </w:r>
    </w:p>
    <w:p>
      <w:pPr>
        <w:spacing w:after="0"/>
        <w:rPr>
          <w:rFonts w:asciiTheme="minorHAnsi" w:hAnsiTheme="minorHAnsi" w:cstheme="minorHAnsi"/>
        </w:rPr>
      </w:pPr>
      <w:r>
        <w:rPr>
          <w:rFonts w:asciiTheme="minorHAnsi" w:hAnsiTheme="minorHAnsi" w:cstheme="minorHAnsi"/>
        </w:rPr>
        <w:t>For all other allegations (which are not found to be malicious or false), the following information will be kept on the file of the individual concerned:</w:t>
      </w:r>
    </w:p>
    <w:p>
      <w:pPr>
        <w:pStyle w:val="ListParagraph"/>
        <w:numPr>
          <w:ilvl w:val="0"/>
          <w:numId w:val="84"/>
        </w:numPr>
        <w:spacing w:after="0" w:line="240" w:lineRule="auto"/>
        <w:rPr>
          <w:rFonts w:asciiTheme="minorHAnsi" w:eastAsia="Arial" w:hAnsiTheme="minorHAnsi" w:cstheme="minorHAnsi"/>
        </w:rPr>
      </w:pPr>
      <w:r>
        <w:rPr>
          <w:rFonts w:asciiTheme="minorHAnsi" w:eastAsia="Arial" w:hAnsiTheme="minorHAnsi" w:cstheme="minorHAnsi"/>
        </w:rPr>
        <w:t>A clear and comprehensive summary of the allegation</w:t>
      </w:r>
    </w:p>
    <w:p>
      <w:pPr>
        <w:pStyle w:val="ListParagraph"/>
        <w:numPr>
          <w:ilvl w:val="0"/>
          <w:numId w:val="84"/>
        </w:numPr>
        <w:spacing w:after="0" w:line="240" w:lineRule="auto"/>
        <w:rPr>
          <w:rFonts w:asciiTheme="minorHAnsi" w:eastAsia="Arial" w:hAnsiTheme="minorHAnsi" w:cstheme="minorHAnsi"/>
        </w:rPr>
      </w:pPr>
      <w:r>
        <w:rPr>
          <w:rFonts w:asciiTheme="minorHAnsi" w:eastAsia="Arial" w:hAnsiTheme="minorHAnsi" w:cstheme="minorHAnsi"/>
        </w:rPr>
        <w:t>Details of how the allegation was followed up and resolved</w:t>
      </w:r>
    </w:p>
    <w:p>
      <w:pPr>
        <w:pStyle w:val="ListParagraph"/>
        <w:numPr>
          <w:ilvl w:val="0"/>
          <w:numId w:val="84"/>
        </w:numPr>
        <w:spacing w:after="0" w:line="240" w:lineRule="auto"/>
        <w:rPr>
          <w:rFonts w:asciiTheme="minorHAnsi" w:eastAsia="Arial" w:hAnsiTheme="minorHAnsi" w:cstheme="minorHAnsi"/>
        </w:rPr>
      </w:pPr>
      <w:r>
        <w:rPr>
          <w:rFonts w:asciiTheme="minorHAnsi" w:eastAsia="Arial" w:hAnsiTheme="minorHAnsi" w:cstheme="minorHAnsi"/>
        </w:rPr>
        <w:t xml:space="preserve">Notes of any action taken, decisions reached and the outcome </w:t>
      </w:r>
    </w:p>
    <w:p>
      <w:pPr>
        <w:pStyle w:val="ListParagraph"/>
        <w:numPr>
          <w:ilvl w:val="0"/>
          <w:numId w:val="84"/>
        </w:numPr>
        <w:spacing w:after="0" w:line="240" w:lineRule="auto"/>
        <w:rPr>
          <w:rFonts w:asciiTheme="minorHAnsi" w:eastAsia="Arial" w:hAnsiTheme="minorHAnsi" w:cstheme="minorHAnsi"/>
        </w:rPr>
      </w:pPr>
      <w:r>
        <w:rPr>
          <w:rFonts w:asciiTheme="minorHAnsi" w:eastAsia="Arial" w:hAnsiTheme="minorHAnsi" w:cstheme="minorHAnsi"/>
        </w:rPr>
        <w:t>A declaration on whether the information will be referred to in any future reference</w:t>
      </w:r>
    </w:p>
    <w:p>
      <w:pPr>
        <w:rPr>
          <w:rFonts w:asciiTheme="minorHAnsi" w:hAnsiTheme="minorHAnsi" w:cstheme="minorHAnsi"/>
        </w:rPr>
      </w:pPr>
      <w:r>
        <w:rPr>
          <w:rFonts w:asciiTheme="minorHAnsi" w:hAnsiTheme="minorHAnsi" w:cstheme="minorHAnsi"/>
        </w:rPr>
        <w:t>In these cases, the school will provide a copy to the individual, in agreement with children’s social care or the police as appropriate.</w:t>
      </w:r>
    </w:p>
    <w:p>
      <w:pPr>
        <w:rPr>
          <w:rFonts w:asciiTheme="minorHAnsi" w:hAnsiTheme="minorHAnsi" w:cstheme="minorHAnsi"/>
        </w:rPr>
      </w:pPr>
      <w:r>
        <w:rPr>
          <w:rFonts w:asciiTheme="minorHAnsi" w:hAnsiTheme="minorHAnsi" w:cstheme="minorHAnsi"/>
        </w:rPr>
        <w:t>We will retain all records a</w:t>
      </w:r>
      <w:r>
        <w:rPr>
          <w:rFonts w:asciiTheme="minorHAnsi" w:eastAsia="Arial" w:hAnsiTheme="minorHAnsi" w:cstheme="minorHAnsi"/>
        </w:rPr>
        <w:t xml:space="preserve">t </w:t>
      </w:r>
      <w:r>
        <w:rPr>
          <w:rFonts w:asciiTheme="minorHAnsi" w:hAnsiTheme="minorHAnsi" w:cstheme="minorHAnsi"/>
        </w:rPr>
        <w:t>least until the accused individual has reached normal pension age, or for 10 years from the date of the allegation if that is longer.</w:t>
      </w:r>
    </w:p>
    <w:p>
      <w:pPr>
        <w:pStyle w:val="Subhead2"/>
        <w:rPr>
          <w:rFonts w:asciiTheme="minorHAnsi" w:hAnsiTheme="minorHAnsi" w:cstheme="minorHAnsi"/>
          <w:color w:val="auto"/>
          <w:sz w:val="22"/>
          <w:szCs w:val="22"/>
          <w:lang w:val="en-GB"/>
        </w:rPr>
      </w:pPr>
      <w:r>
        <w:rPr>
          <w:rFonts w:asciiTheme="minorHAnsi" w:hAnsiTheme="minorHAnsi" w:cstheme="minorHAnsi"/>
          <w:color w:val="auto"/>
          <w:sz w:val="22"/>
          <w:szCs w:val="22"/>
          <w:lang w:val="en-GB"/>
        </w:rPr>
        <w:t>References</w:t>
      </w:r>
    </w:p>
    <w:p>
      <w:pPr>
        <w:spacing w:after="0"/>
        <w:rPr>
          <w:rFonts w:asciiTheme="minorHAnsi" w:hAnsiTheme="minorHAnsi" w:cstheme="minorHAnsi"/>
        </w:rPr>
      </w:pPr>
      <w:r>
        <w:rPr>
          <w:rFonts w:asciiTheme="minorHAnsi" w:hAnsiTheme="minorHAnsi" w:cstheme="minorHAnsi"/>
        </w:rPr>
        <w:t>When providing employer references, we will:</w:t>
      </w:r>
    </w:p>
    <w:p>
      <w:pPr>
        <w:pStyle w:val="4Bulletedcopyblue"/>
        <w:numPr>
          <w:ilvl w:val="0"/>
          <w:numId w:val="85"/>
        </w:numPr>
        <w:spacing w:after="0"/>
        <w:rPr>
          <w:rFonts w:asciiTheme="minorHAnsi" w:hAnsiTheme="minorHAnsi" w:cstheme="minorHAnsi"/>
          <w:sz w:val="22"/>
          <w:szCs w:val="22"/>
          <w:lang w:val="en-GB"/>
        </w:rPr>
      </w:pPr>
      <w:r>
        <w:rPr>
          <w:rFonts w:asciiTheme="minorHAnsi" w:hAnsiTheme="minorHAnsi" w:cstheme="minorHAnsi"/>
          <w:sz w:val="22"/>
          <w:szCs w:val="22"/>
          <w:lang w:val="en-GB"/>
        </w:rPr>
        <w:t>Not refer to any allegation that has been found to be false, unfounded, unsubstantiated or malicious, or any repeated allegations which have all been found to be false, unfounded, unsubstantiated or malicious</w:t>
      </w:r>
    </w:p>
    <w:p>
      <w:pPr>
        <w:pStyle w:val="4Bulletedcopyblue"/>
        <w:numPr>
          <w:ilvl w:val="0"/>
          <w:numId w:val="85"/>
        </w:numPr>
        <w:spacing w:after="0"/>
        <w:rPr>
          <w:rFonts w:asciiTheme="minorHAnsi" w:hAnsiTheme="minorHAnsi" w:cstheme="minorHAnsi"/>
          <w:sz w:val="22"/>
          <w:szCs w:val="22"/>
          <w:lang w:val="en-GB"/>
        </w:rPr>
      </w:pPr>
      <w:r>
        <w:rPr>
          <w:rFonts w:asciiTheme="minorHAnsi" w:hAnsiTheme="minorHAnsi" w:cstheme="minorHAnsi"/>
          <w:sz w:val="22"/>
          <w:szCs w:val="22"/>
          <w:lang w:val="en-GB"/>
        </w:rPr>
        <w:t>Include substantiated allegations, provided that the information is factual and does not include opinions</w:t>
      </w:r>
    </w:p>
    <w:p>
      <w:pPr>
        <w:pStyle w:val="4Bulletedcopyblue"/>
        <w:spacing w:after="0"/>
        <w:ind w:left="340"/>
        <w:rPr>
          <w:rFonts w:asciiTheme="minorHAnsi" w:hAnsiTheme="minorHAnsi" w:cstheme="minorHAnsi"/>
          <w:sz w:val="22"/>
          <w:szCs w:val="22"/>
          <w:lang w:val="en-GB"/>
        </w:rPr>
      </w:pPr>
    </w:p>
    <w:p>
      <w:pPr>
        <w:pStyle w:val="Subhead2"/>
        <w:spacing w:before="0" w:after="0"/>
        <w:rPr>
          <w:rFonts w:asciiTheme="minorHAnsi" w:hAnsiTheme="minorHAnsi" w:cstheme="minorHAnsi"/>
          <w:color w:val="auto"/>
          <w:sz w:val="22"/>
          <w:szCs w:val="22"/>
          <w:lang w:val="en-GB"/>
        </w:rPr>
      </w:pPr>
      <w:r>
        <w:rPr>
          <w:rFonts w:asciiTheme="minorHAnsi" w:hAnsiTheme="minorHAnsi" w:cstheme="minorHAnsi"/>
          <w:color w:val="auto"/>
          <w:sz w:val="22"/>
          <w:szCs w:val="22"/>
          <w:lang w:val="en-GB"/>
        </w:rPr>
        <w:t>Learning lessons</w:t>
      </w:r>
    </w:p>
    <w:p>
      <w:pPr>
        <w:spacing w:after="0"/>
        <w:rPr>
          <w:rFonts w:asciiTheme="minorHAnsi" w:hAnsiTheme="minorHAnsi" w:cstheme="minorHAnsi"/>
        </w:rPr>
      </w:pPr>
      <w:r>
        <w:rPr>
          <w:rFonts w:asciiTheme="minorHAnsi" w:hAnsiTheme="minorHAnsi" w:cstheme="minorHAnsi"/>
        </w:rPr>
        <w:t xml:space="preserve">After any cases where the allegations are </w:t>
      </w:r>
      <w:r>
        <w:rPr>
          <w:rFonts w:asciiTheme="minorHAnsi" w:hAnsiTheme="minorHAnsi" w:cstheme="minorHAnsi"/>
          <w:i/>
        </w:rPr>
        <w:t>substantiated</w:t>
      </w:r>
      <w:r>
        <w:rPr>
          <w:rFonts w:asciiTheme="minorHAnsi" w:hAnsiTheme="minorHAnsi" w:cstheme="minorHAnsi"/>
        </w:rPr>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pPr>
        <w:spacing w:after="0"/>
        <w:rPr>
          <w:rFonts w:asciiTheme="minorHAnsi" w:hAnsiTheme="minorHAnsi" w:cstheme="minorHAnsi"/>
        </w:rPr>
      </w:pPr>
      <w:r>
        <w:rPr>
          <w:rFonts w:asciiTheme="minorHAnsi" w:hAnsiTheme="minorHAnsi" w:cstheme="minorHAnsi"/>
        </w:rPr>
        <w:t>This will include consideration of (as applicable):</w:t>
      </w:r>
    </w:p>
    <w:p>
      <w:pPr>
        <w:pStyle w:val="ListParagraph"/>
        <w:numPr>
          <w:ilvl w:val="0"/>
          <w:numId w:val="86"/>
        </w:numPr>
        <w:spacing w:after="0" w:line="240" w:lineRule="auto"/>
        <w:rPr>
          <w:rFonts w:asciiTheme="minorHAnsi" w:eastAsia="Arial" w:hAnsiTheme="minorHAnsi" w:cstheme="minorHAnsi"/>
        </w:rPr>
      </w:pPr>
      <w:r>
        <w:rPr>
          <w:rFonts w:asciiTheme="minorHAnsi" w:eastAsia="Arial" w:hAnsiTheme="minorHAnsi" w:cstheme="minorHAnsi"/>
        </w:rPr>
        <w:t>Issues arising from the decision to suspend the member of staff</w:t>
      </w:r>
    </w:p>
    <w:p>
      <w:pPr>
        <w:pStyle w:val="ListParagraph"/>
        <w:numPr>
          <w:ilvl w:val="0"/>
          <w:numId w:val="86"/>
        </w:numPr>
        <w:spacing w:after="0" w:line="240" w:lineRule="auto"/>
        <w:rPr>
          <w:rFonts w:asciiTheme="minorHAnsi" w:eastAsia="Arial" w:hAnsiTheme="minorHAnsi" w:cstheme="minorHAnsi"/>
        </w:rPr>
      </w:pPr>
      <w:r>
        <w:rPr>
          <w:rFonts w:asciiTheme="minorHAnsi" w:eastAsia="Arial" w:hAnsiTheme="minorHAnsi" w:cstheme="minorHAnsi"/>
        </w:rPr>
        <w:t>The duration of the suspension</w:t>
      </w:r>
    </w:p>
    <w:p>
      <w:pPr>
        <w:pStyle w:val="ListParagraph"/>
        <w:numPr>
          <w:ilvl w:val="0"/>
          <w:numId w:val="86"/>
        </w:numPr>
        <w:spacing w:after="0" w:line="240" w:lineRule="auto"/>
        <w:rPr>
          <w:rFonts w:asciiTheme="minorHAnsi" w:hAnsiTheme="minorHAnsi" w:cstheme="minorHAnsi"/>
        </w:rPr>
      </w:pPr>
      <w:r>
        <w:rPr>
          <w:rFonts w:asciiTheme="minorHAnsi" w:eastAsia="Arial" w:hAnsiTheme="minorHAnsi" w:cstheme="minorHAnsi"/>
        </w:rPr>
        <w:t xml:space="preserve">Whether or not the suspension was justified </w:t>
      </w:r>
    </w:p>
    <w:p>
      <w:pPr>
        <w:pStyle w:val="ListParagraph"/>
        <w:numPr>
          <w:ilvl w:val="0"/>
          <w:numId w:val="86"/>
        </w:numPr>
        <w:spacing w:after="0" w:line="240" w:lineRule="auto"/>
        <w:rPr>
          <w:rFonts w:asciiTheme="minorHAnsi" w:hAnsiTheme="minorHAnsi" w:cstheme="minorHAnsi"/>
        </w:rPr>
      </w:pPr>
      <w:r>
        <w:rPr>
          <w:rFonts w:asciiTheme="minorHAnsi" w:eastAsia="Arial" w:hAnsiTheme="minorHAnsi" w:cstheme="minorHAnsi"/>
        </w:rPr>
        <w:t>The use of suspension when the individual is subsequently reinstated. We will consider how future investigations of a similar nature could be carried out without suspending the individual</w:t>
      </w:r>
    </w:p>
    <w:p>
      <w:pPr>
        <w:spacing w:after="0"/>
        <w:rPr>
          <w:rFonts w:asciiTheme="minorHAnsi" w:eastAsia="Arial" w:hAnsiTheme="minorHAnsi" w:cstheme="minorHAnsi"/>
        </w:rPr>
      </w:pPr>
      <w:r>
        <w:rPr>
          <w:rFonts w:asciiTheme="minorHAnsi" w:eastAsia="Arial" w:hAnsiTheme="minorHAnsi" w:cstheme="minorHAnsi"/>
        </w:rPr>
        <w:t>For all other cases, the case manager will consider the facts and determine whether any improvements can be made.</w:t>
      </w:r>
    </w:p>
    <w:p>
      <w:pPr>
        <w:pStyle w:val="Subhead2"/>
        <w:spacing w:before="0" w:after="0"/>
        <w:rPr>
          <w:rFonts w:asciiTheme="minorHAnsi" w:hAnsiTheme="minorHAnsi" w:cstheme="minorHAnsi"/>
          <w:color w:val="auto"/>
          <w:sz w:val="22"/>
          <w:szCs w:val="22"/>
          <w:lang w:val="en-GB"/>
        </w:rPr>
      </w:pPr>
    </w:p>
    <w:p>
      <w:pPr>
        <w:pStyle w:val="Subhead2"/>
        <w:spacing w:before="0" w:after="0"/>
        <w:rPr>
          <w:rFonts w:asciiTheme="minorHAnsi" w:hAnsiTheme="minorHAnsi" w:cstheme="minorHAnsi"/>
          <w:color w:val="auto"/>
          <w:sz w:val="22"/>
          <w:szCs w:val="22"/>
          <w:lang w:val="en-GB"/>
        </w:rPr>
      </w:pPr>
      <w:r>
        <w:rPr>
          <w:rFonts w:asciiTheme="minorHAnsi" w:hAnsiTheme="minorHAnsi" w:cstheme="minorHAnsi"/>
          <w:color w:val="auto"/>
          <w:sz w:val="22"/>
          <w:szCs w:val="22"/>
          <w:lang w:val="en-GB"/>
        </w:rPr>
        <w:t>Non-recent allegations</w:t>
      </w:r>
    </w:p>
    <w:p>
      <w:pPr>
        <w:spacing w:after="0"/>
        <w:rPr>
          <w:rFonts w:asciiTheme="minorHAnsi" w:hAnsiTheme="minorHAnsi" w:cstheme="minorHAnsi"/>
        </w:rPr>
      </w:pPr>
      <w:r>
        <w:rPr>
          <w:rFonts w:asciiTheme="minorHAnsi" w:hAnsiTheme="minorHAnsi" w:cstheme="minorHAnsi"/>
        </w:rPr>
        <w:t>Abuse can be reported, no matter how long ago it happened.</w:t>
      </w:r>
    </w:p>
    <w:p>
      <w:pPr>
        <w:spacing w:after="0"/>
        <w:rPr>
          <w:rFonts w:asciiTheme="minorHAnsi" w:hAnsiTheme="minorHAnsi" w:cstheme="minorHAnsi"/>
        </w:rPr>
      </w:pPr>
      <w:r>
        <w:rPr>
          <w:rFonts w:asciiTheme="minorHAnsi" w:hAnsiTheme="minorHAnsi" w:cstheme="minorHAnsi"/>
        </w:rPr>
        <w:t>We will report any non-recent allegations made by a child to the LADO in line with our local authority’s procedures for dealing with non-recent allegations.</w:t>
      </w:r>
    </w:p>
    <w:p>
      <w:pPr>
        <w:spacing w:before="120"/>
        <w:rPr>
          <w:rFonts w:asciiTheme="minorHAnsi" w:hAnsiTheme="minorHAnsi" w:cstheme="minorHAnsi"/>
        </w:rPr>
      </w:pPr>
      <w:r>
        <w:rPr>
          <w:rFonts w:asciiTheme="minorHAnsi" w:hAnsiTheme="minorHAnsi" w:cstheme="minorHAnsi"/>
        </w:rPr>
        <w:t>Where an adult makes an allegation to the school that they were abused as a child, we will advise the individual to report the allegation to the police.</w:t>
      </w:r>
    </w:p>
    <w:p>
      <w:pPr>
        <w:pStyle w:val="Heading2"/>
        <w:rPr>
          <w:sz w:val="28"/>
          <w:szCs w:val="28"/>
        </w:rPr>
      </w:pPr>
      <w:bookmarkStart w:id="172" w:name="_Toc172030682"/>
      <w:r>
        <w:rPr>
          <w:sz w:val="28"/>
          <w:szCs w:val="28"/>
        </w:rPr>
        <w:lastRenderedPageBreak/>
        <w:t>Section 2: Concerns that Do Not Meet the Harm Threshold</w:t>
      </w:r>
      <w:bookmarkEnd w:id="172"/>
    </w:p>
    <w:p>
      <w:pPr>
        <w:spacing w:after="0"/>
        <w:rPr>
          <w:rStyle w:val="1bodycopy10ptChar"/>
          <w:rFonts w:asciiTheme="minorHAnsi" w:hAnsiTheme="minorHAnsi" w:cstheme="minorHAnsi"/>
          <w:sz w:val="22"/>
          <w:szCs w:val="22"/>
        </w:rPr>
      </w:pPr>
      <w:r>
        <w:rPr>
          <w:rFonts w:asciiTheme="minorHAnsi" w:hAnsiTheme="minorHAnsi" w:cstheme="minorHAnsi"/>
        </w:rPr>
        <w:t xml:space="preserve">The section is based on ‘Section 2: Concerns that do not meet the harm threshold’ in part 4 of Keeping Children Safe in Education. </w:t>
      </w:r>
    </w:p>
    <w:p>
      <w:pPr>
        <w:spacing w:after="0"/>
        <w:rPr>
          <w:rFonts w:asciiTheme="minorHAnsi" w:hAnsiTheme="minorHAnsi" w:cstheme="minorHAnsi"/>
        </w:rPr>
      </w:pPr>
    </w:p>
    <w:p>
      <w:pPr>
        <w:spacing w:after="0"/>
        <w:rPr>
          <w:rFonts w:asciiTheme="minorHAnsi" w:hAnsiTheme="minorHAnsi" w:cstheme="minorHAnsi"/>
        </w:rPr>
      </w:pPr>
      <w:r>
        <w:rPr>
          <w:rFonts w:asciiTheme="minorHAnsi" w:hAnsiTheme="minorHAnsi" w:cstheme="minorHAnsi"/>
        </w:rPr>
        <w:t>This section applies to all concerns (including allegations) about members of staff, including supply teachers, volunteers and contractors, which do not meet the harm threshold set out in section 1 above.</w:t>
      </w:r>
    </w:p>
    <w:p>
      <w:pPr>
        <w:spacing w:after="0"/>
        <w:rPr>
          <w:rFonts w:asciiTheme="minorHAnsi" w:hAnsiTheme="minorHAnsi" w:cstheme="minorHAnsi"/>
        </w:rPr>
      </w:pPr>
      <w:r>
        <w:rPr>
          <w:rFonts w:asciiTheme="minorHAnsi" w:hAnsiTheme="minorHAnsi" w:cstheme="minorHAnsi"/>
        </w:rPr>
        <w:t xml:space="preserve">Concerns may arise through, for example: </w:t>
      </w:r>
    </w:p>
    <w:p>
      <w:pPr>
        <w:pStyle w:val="4Bulletedcopyblue"/>
        <w:numPr>
          <w:ilvl w:val="0"/>
          <w:numId w:val="87"/>
        </w:numPr>
        <w:spacing w:after="0"/>
        <w:rPr>
          <w:rFonts w:asciiTheme="minorHAnsi" w:hAnsiTheme="minorHAnsi" w:cstheme="minorHAnsi"/>
          <w:sz w:val="22"/>
          <w:szCs w:val="22"/>
          <w:lang w:val="en-GB"/>
        </w:rPr>
      </w:pPr>
      <w:r>
        <w:rPr>
          <w:rFonts w:asciiTheme="minorHAnsi" w:hAnsiTheme="minorHAnsi" w:cstheme="minorHAnsi"/>
          <w:sz w:val="22"/>
          <w:szCs w:val="22"/>
          <w:lang w:val="en-GB"/>
        </w:rPr>
        <w:t>Suspicion</w:t>
      </w:r>
    </w:p>
    <w:p>
      <w:pPr>
        <w:pStyle w:val="4Bulletedcopyblue"/>
        <w:numPr>
          <w:ilvl w:val="0"/>
          <w:numId w:val="87"/>
        </w:numPr>
        <w:spacing w:after="0"/>
        <w:rPr>
          <w:rFonts w:asciiTheme="minorHAnsi" w:hAnsiTheme="minorHAnsi" w:cstheme="minorHAnsi"/>
          <w:sz w:val="22"/>
          <w:szCs w:val="22"/>
          <w:lang w:val="en-GB"/>
        </w:rPr>
      </w:pPr>
      <w:r>
        <w:rPr>
          <w:rFonts w:asciiTheme="minorHAnsi" w:hAnsiTheme="minorHAnsi" w:cstheme="minorHAnsi"/>
          <w:sz w:val="22"/>
          <w:szCs w:val="22"/>
          <w:lang w:val="en-GB"/>
        </w:rPr>
        <w:t>Complaint</w:t>
      </w:r>
    </w:p>
    <w:p>
      <w:pPr>
        <w:pStyle w:val="4Bulletedcopyblue"/>
        <w:numPr>
          <w:ilvl w:val="0"/>
          <w:numId w:val="87"/>
        </w:numPr>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Safeguarding concern or allegation from another member of staff </w:t>
      </w:r>
    </w:p>
    <w:p>
      <w:pPr>
        <w:pStyle w:val="4Bulletedcopyblue"/>
        <w:numPr>
          <w:ilvl w:val="0"/>
          <w:numId w:val="87"/>
        </w:numPr>
        <w:spacing w:after="0"/>
        <w:rPr>
          <w:rFonts w:asciiTheme="minorHAnsi" w:hAnsiTheme="minorHAnsi" w:cstheme="minorHAnsi"/>
          <w:sz w:val="22"/>
          <w:szCs w:val="22"/>
          <w:lang w:val="en-GB"/>
        </w:rPr>
      </w:pPr>
      <w:r>
        <w:rPr>
          <w:rFonts w:asciiTheme="minorHAnsi" w:hAnsiTheme="minorHAnsi" w:cstheme="minorHAnsi"/>
          <w:sz w:val="22"/>
          <w:szCs w:val="22"/>
          <w:lang w:val="en-GB"/>
        </w:rPr>
        <w:t>Disclosure made by a child, parent or other adult within or outside the school</w:t>
      </w:r>
    </w:p>
    <w:p>
      <w:pPr>
        <w:pStyle w:val="4Bulletedcopyblue"/>
        <w:numPr>
          <w:ilvl w:val="0"/>
          <w:numId w:val="87"/>
        </w:numPr>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Pre-employment vetting checks </w:t>
      </w:r>
    </w:p>
    <w:p>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t>We recognise the importance of responding to and dealing with any concerns in a timely manner to safeguard the welfare of children.</w:t>
      </w:r>
    </w:p>
    <w:p>
      <w:pPr>
        <w:pStyle w:val="Subhead2"/>
        <w:spacing w:before="0" w:after="0"/>
        <w:rPr>
          <w:color w:val="auto"/>
          <w:sz w:val="22"/>
          <w:szCs w:val="22"/>
          <w:lang w:val="en-GB"/>
        </w:rPr>
      </w:pPr>
    </w:p>
    <w:p>
      <w:pPr>
        <w:pStyle w:val="Subhead2"/>
        <w:spacing w:before="0" w:after="0"/>
        <w:rPr>
          <w:color w:val="auto"/>
          <w:sz w:val="22"/>
          <w:szCs w:val="22"/>
          <w:highlight w:val="yellow"/>
          <w:lang w:val="en-GB"/>
        </w:rPr>
      </w:pPr>
      <w:r>
        <w:rPr>
          <w:color w:val="auto"/>
          <w:sz w:val="22"/>
          <w:szCs w:val="22"/>
          <w:lang w:val="en-GB"/>
        </w:rPr>
        <w:t>Definition of low-level concerns</w:t>
      </w:r>
    </w:p>
    <w:p>
      <w:pPr>
        <w:pStyle w:val="1bodycopy10pt"/>
        <w:spacing w:after="0"/>
        <w:rPr>
          <w:highlight w:val="yellow"/>
          <w:lang w:val="en-GB"/>
        </w:rPr>
      </w:pPr>
    </w:p>
    <w:p>
      <w:pPr>
        <w:spacing w:after="0"/>
        <w:jc w:val="center"/>
        <w:rPr>
          <w:rFonts w:eastAsia="Times New Roman" w:cs="Arial"/>
          <w:i/>
          <w:highlight w:val="yellow"/>
        </w:rPr>
      </w:pPr>
      <w:r>
        <w:rPr>
          <w:rFonts w:eastAsia="Times New Roman" w:cs="Arial"/>
          <w:noProof/>
          <w:highlight w:val="yellow"/>
          <w:lang w:val="en-GB"/>
        </w:rPr>
        <w:drawing>
          <wp:inline distT="0" distB="0" distL="0" distR="0">
            <wp:extent cx="3905250" cy="3626149"/>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919695" cy="3639562"/>
                    </a:xfrm>
                    <a:prstGeom prst="rect">
                      <a:avLst/>
                    </a:prstGeom>
                    <a:noFill/>
                    <a:ln>
                      <a:noFill/>
                    </a:ln>
                  </pic:spPr>
                </pic:pic>
              </a:graphicData>
            </a:graphic>
          </wp:inline>
        </w:drawing>
      </w:r>
    </w:p>
    <w:p>
      <w:pPr>
        <w:pStyle w:val="1bodycopy10pt"/>
        <w:spacing w:after="0"/>
        <w:rPr>
          <w:highlight w:val="yellow"/>
          <w:lang w:val="en-GB"/>
        </w:rPr>
      </w:pPr>
    </w:p>
    <w:p>
      <w:pPr>
        <w:spacing w:after="0"/>
        <w:rPr>
          <w:rFonts w:asciiTheme="minorHAnsi" w:hAnsiTheme="minorHAnsi" w:cstheme="minorHAnsi"/>
        </w:rPr>
      </w:pPr>
      <w:r>
        <w:rPr>
          <w:rFonts w:asciiTheme="minorHAnsi" w:hAnsiTheme="minorHAnsi" w:cstheme="minorHAnsi"/>
        </w:rPr>
        <w:t>The term ‘low-level’ concern is any concern – no matter how small – that an adult working in or on behalf of the school may have acted in a way that:</w:t>
      </w:r>
    </w:p>
    <w:p>
      <w:pPr>
        <w:pStyle w:val="4Bulletedcopyblue"/>
        <w:numPr>
          <w:ilvl w:val="0"/>
          <w:numId w:val="89"/>
        </w:numPr>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Is inconsistent with the staff code of conduct, including inappropriate conduct outside of work, </w:t>
      </w:r>
      <w:r>
        <w:rPr>
          <w:rFonts w:asciiTheme="minorHAnsi" w:hAnsiTheme="minorHAnsi" w:cstheme="minorHAnsi"/>
          <w:b/>
          <w:sz w:val="22"/>
          <w:szCs w:val="22"/>
          <w:lang w:val="en-GB"/>
        </w:rPr>
        <w:t>and</w:t>
      </w:r>
    </w:p>
    <w:p>
      <w:pPr>
        <w:pStyle w:val="4Bulletedcopyblue"/>
        <w:numPr>
          <w:ilvl w:val="0"/>
          <w:numId w:val="89"/>
        </w:numPr>
        <w:spacing w:after="0"/>
        <w:rPr>
          <w:rFonts w:asciiTheme="minorHAnsi" w:hAnsiTheme="minorHAnsi" w:cstheme="minorHAnsi"/>
          <w:sz w:val="22"/>
          <w:szCs w:val="22"/>
          <w:lang w:val="en-GB"/>
        </w:rPr>
      </w:pPr>
      <w:r>
        <w:rPr>
          <w:rFonts w:asciiTheme="minorHAnsi" w:hAnsiTheme="minorHAnsi" w:cstheme="minorHAnsi"/>
          <w:sz w:val="22"/>
          <w:szCs w:val="22"/>
          <w:lang w:val="en-GB"/>
        </w:rPr>
        <w:t>Does not meet the allegations threshold or is otherwise not considered serious enough to consider a referral to the designated officer at the local authority</w:t>
      </w:r>
    </w:p>
    <w:p>
      <w:pPr>
        <w:pStyle w:val="1bodycopy10pt"/>
        <w:spacing w:after="0"/>
        <w:rPr>
          <w:rFonts w:asciiTheme="minorHAnsi" w:hAnsiTheme="minorHAnsi" w:cstheme="minorHAnsi"/>
          <w:sz w:val="22"/>
          <w:szCs w:val="22"/>
          <w:lang w:val="en-GB"/>
        </w:rPr>
      </w:pPr>
    </w:p>
    <w:p>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t>Examples of such behaviour could include, but are not limited to:</w:t>
      </w:r>
    </w:p>
    <w:p>
      <w:pPr>
        <w:pStyle w:val="1bodycopy10pt"/>
        <w:numPr>
          <w:ilvl w:val="0"/>
          <w:numId w:val="88"/>
        </w:numPr>
        <w:spacing w:after="0"/>
        <w:rPr>
          <w:rFonts w:asciiTheme="minorHAnsi" w:hAnsiTheme="minorHAnsi" w:cstheme="minorHAnsi"/>
          <w:sz w:val="22"/>
          <w:szCs w:val="22"/>
          <w:lang w:val="en-GB"/>
        </w:rPr>
      </w:pPr>
      <w:r>
        <w:rPr>
          <w:rFonts w:asciiTheme="minorHAnsi" w:hAnsiTheme="minorHAnsi" w:cstheme="minorHAnsi"/>
          <w:sz w:val="22"/>
          <w:szCs w:val="22"/>
          <w:lang w:val="en-GB"/>
        </w:rPr>
        <w:t>Being overly friendly with children</w:t>
      </w:r>
    </w:p>
    <w:p>
      <w:pPr>
        <w:pStyle w:val="4Bulletedcopyblue"/>
        <w:numPr>
          <w:ilvl w:val="0"/>
          <w:numId w:val="88"/>
        </w:numPr>
        <w:spacing w:after="0"/>
        <w:rPr>
          <w:rFonts w:asciiTheme="minorHAnsi" w:hAnsiTheme="minorHAnsi" w:cstheme="minorHAnsi"/>
          <w:sz w:val="22"/>
          <w:szCs w:val="22"/>
          <w:lang w:val="en-GB"/>
        </w:rPr>
      </w:pPr>
      <w:r>
        <w:rPr>
          <w:rFonts w:asciiTheme="minorHAnsi" w:hAnsiTheme="minorHAnsi" w:cstheme="minorHAnsi"/>
          <w:sz w:val="22"/>
          <w:szCs w:val="22"/>
          <w:lang w:val="en-GB"/>
        </w:rPr>
        <w:t>Having favourites</w:t>
      </w:r>
    </w:p>
    <w:p>
      <w:pPr>
        <w:pStyle w:val="4Bulletedcopyblue"/>
        <w:numPr>
          <w:ilvl w:val="0"/>
          <w:numId w:val="88"/>
        </w:numPr>
        <w:spacing w:after="0"/>
        <w:rPr>
          <w:rFonts w:asciiTheme="minorHAnsi" w:hAnsiTheme="minorHAnsi" w:cstheme="minorHAnsi"/>
          <w:sz w:val="22"/>
          <w:szCs w:val="22"/>
          <w:lang w:val="en-GB"/>
        </w:rPr>
      </w:pPr>
      <w:r>
        <w:rPr>
          <w:rFonts w:asciiTheme="minorHAnsi" w:hAnsiTheme="minorHAnsi" w:cstheme="minorHAnsi"/>
          <w:sz w:val="22"/>
          <w:szCs w:val="22"/>
          <w:lang w:val="en-GB"/>
        </w:rPr>
        <w:t>Taking photographs of children on their mobile phone</w:t>
      </w:r>
    </w:p>
    <w:p>
      <w:pPr>
        <w:pStyle w:val="4Bulletedcopyblue"/>
        <w:numPr>
          <w:ilvl w:val="0"/>
          <w:numId w:val="88"/>
        </w:numPr>
        <w:spacing w:after="0"/>
        <w:rPr>
          <w:rFonts w:asciiTheme="minorHAnsi" w:hAnsiTheme="minorHAnsi" w:cstheme="minorHAnsi"/>
          <w:sz w:val="22"/>
          <w:szCs w:val="22"/>
          <w:lang w:val="en-GB"/>
        </w:rPr>
      </w:pPr>
      <w:r>
        <w:rPr>
          <w:rFonts w:asciiTheme="minorHAnsi" w:hAnsiTheme="minorHAnsi" w:cstheme="minorHAnsi"/>
          <w:sz w:val="22"/>
          <w:szCs w:val="22"/>
          <w:lang w:val="en-GB"/>
        </w:rPr>
        <w:t>Engaging with a child on a one-to-one basis in a secluded area or behind a closed door</w:t>
      </w:r>
    </w:p>
    <w:p>
      <w:pPr>
        <w:pStyle w:val="4Bulletedcopyblue"/>
        <w:numPr>
          <w:ilvl w:val="0"/>
          <w:numId w:val="88"/>
        </w:numPr>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Humiliating pupils </w:t>
      </w:r>
    </w:p>
    <w:p>
      <w:pPr>
        <w:pStyle w:val="Subhead2"/>
        <w:spacing w:before="0" w:after="0"/>
        <w:rPr>
          <w:rFonts w:asciiTheme="minorHAnsi" w:hAnsiTheme="minorHAnsi" w:cstheme="minorHAnsi"/>
          <w:sz w:val="22"/>
          <w:szCs w:val="22"/>
          <w:lang w:val="en-GB"/>
        </w:rPr>
      </w:pPr>
    </w:p>
    <w:p>
      <w:pPr>
        <w:pStyle w:val="Subhead2"/>
        <w:spacing w:before="0" w:after="0"/>
        <w:rPr>
          <w:rFonts w:asciiTheme="minorHAnsi" w:hAnsiTheme="minorHAnsi" w:cstheme="minorHAnsi"/>
          <w:color w:val="auto"/>
          <w:sz w:val="22"/>
          <w:szCs w:val="22"/>
          <w:lang w:val="en-GB"/>
        </w:rPr>
      </w:pPr>
      <w:r>
        <w:rPr>
          <w:rFonts w:asciiTheme="minorHAnsi" w:hAnsiTheme="minorHAnsi" w:cstheme="minorHAnsi"/>
          <w:color w:val="auto"/>
          <w:sz w:val="22"/>
          <w:szCs w:val="22"/>
          <w:lang w:val="en-GB"/>
        </w:rPr>
        <w:t xml:space="preserve">Sharing low-level concerns </w:t>
      </w:r>
    </w:p>
    <w:p>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lastRenderedPageBreak/>
        <w:t>We recognise the importance of creating a culture of openness, trust and transparency to encourage all staff to confidentially share low-level concerns so that they can be addressed appropriately.</w:t>
      </w:r>
    </w:p>
    <w:p>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We will create this culture by: </w:t>
      </w:r>
    </w:p>
    <w:p>
      <w:pPr>
        <w:pStyle w:val="4Bulletedcopyblue"/>
        <w:numPr>
          <w:ilvl w:val="0"/>
          <w:numId w:val="90"/>
        </w:numPr>
        <w:spacing w:after="0"/>
        <w:rPr>
          <w:rFonts w:asciiTheme="minorHAnsi" w:hAnsiTheme="minorHAnsi" w:cstheme="minorHAnsi"/>
          <w:sz w:val="22"/>
          <w:szCs w:val="22"/>
          <w:lang w:val="en-GB"/>
        </w:rPr>
      </w:pPr>
      <w:r>
        <w:rPr>
          <w:rFonts w:asciiTheme="minorHAnsi" w:hAnsiTheme="minorHAnsi" w:cstheme="minorHAnsi"/>
          <w:sz w:val="22"/>
          <w:szCs w:val="22"/>
          <w:lang w:val="en-GB"/>
        </w:rPr>
        <w:t>Ensuring staff are clear about what appropriate behaviour is, and are confident in distinguishing expected and appropriate behaviour from concerning, problematic or inappropriate behaviour, in themselves and others</w:t>
      </w:r>
    </w:p>
    <w:p>
      <w:pPr>
        <w:pStyle w:val="4Bulletedcopyblue"/>
        <w:numPr>
          <w:ilvl w:val="0"/>
          <w:numId w:val="90"/>
        </w:numPr>
        <w:spacing w:after="0"/>
        <w:rPr>
          <w:rFonts w:asciiTheme="minorHAnsi" w:hAnsiTheme="minorHAnsi" w:cstheme="minorHAnsi"/>
          <w:sz w:val="22"/>
          <w:szCs w:val="22"/>
          <w:lang w:val="en-GB"/>
        </w:rPr>
      </w:pPr>
      <w:r>
        <w:rPr>
          <w:rFonts w:asciiTheme="minorHAnsi" w:hAnsiTheme="minorHAnsi" w:cstheme="minorHAnsi"/>
          <w:sz w:val="22"/>
          <w:szCs w:val="22"/>
          <w:lang w:val="en-GB"/>
        </w:rPr>
        <w:t>Empowering staff to share any low-level concerns as per section 7.7 of this policy</w:t>
      </w:r>
    </w:p>
    <w:p>
      <w:pPr>
        <w:pStyle w:val="4Bulletedcopyblue"/>
        <w:numPr>
          <w:ilvl w:val="0"/>
          <w:numId w:val="90"/>
        </w:numPr>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Empowering staff to self-refer </w:t>
      </w:r>
    </w:p>
    <w:p>
      <w:pPr>
        <w:pStyle w:val="4Bulletedcopyblue"/>
        <w:numPr>
          <w:ilvl w:val="0"/>
          <w:numId w:val="90"/>
        </w:numPr>
        <w:spacing w:after="0"/>
        <w:rPr>
          <w:rFonts w:asciiTheme="minorHAnsi" w:hAnsiTheme="minorHAnsi" w:cstheme="minorHAnsi"/>
          <w:sz w:val="22"/>
          <w:szCs w:val="22"/>
          <w:lang w:val="en-GB"/>
        </w:rPr>
      </w:pPr>
      <w:r>
        <w:rPr>
          <w:rFonts w:asciiTheme="minorHAnsi" w:hAnsiTheme="minorHAnsi" w:cstheme="minorHAnsi"/>
          <w:sz w:val="22"/>
          <w:szCs w:val="22"/>
          <w:lang w:val="en-GB"/>
        </w:rPr>
        <w:t>Addressing unprofessional behaviour and supporting the individual to correct it at an early stage</w:t>
      </w:r>
    </w:p>
    <w:p>
      <w:pPr>
        <w:pStyle w:val="4Bulletedcopyblue"/>
        <w:numPr>
          <w:ilvl w:val="0"/>
          <w:numId w:val="90"/>
        </w:numPr>
        <w:spacing w:after="0"/>
        <w:rPr>
          <w:rFonts w:asciiTheme="minorHAnsi" w:hAnsiTheme="minorHAnsi" w:cstheme="minorHAnsi"/>
          <w:sz w:val="22"/>
          <w:szCs w:val="22"/>
          <w:lang w:val="en-GB"/>
        </w:rPr>
      </w:pPr>
      <w:r>
        <w:rPr>
          <w:rFonts w:asciiTheme="minorHAnsi" w:hAnsiTheme="minorHAnsi" w:cstheme="minorHAnsi"/>
          <w:sz w:val="22"/>
          <w:szCs w:val="22"/>
          <w:lang w:val="en-GB"/>
        </w:rPr>
        <w:t>Providing a responsive, sensitive and proportionate handling of such concerns when they are raised</w:t>
      </w:r>
    </w:p>
    <w:p>
      <w:pPr>
        <w:pStyle w:val="4Bulletedcopyblue"/>
        <w:numPr>
          <w:ilvl w:val="0"/>
          <w:numId w:val="90"/>
        </w:numPr>
        <w:spacing w:after="0"/>
        <w:rPr>
          <w:rFonts w:asciiTheme="minorHAnsi" w:hAnsiTheme="minorHAnsi" w:cstheme="minorHAnsi"/>
          <w:sz w:val="22"/>
          <w:szCs w:val="22"/>
          <w:lang w:val="en-GB"/>
        </w:rPr>
      </w:pPr>
      <w:r>
        <w:rPr>
          <w:rFonts w:asciiTheme="minorHAnsi" w:hAnsiTheme="minorHAnsi" w:cstheme="minorHAnsi"/>
          <w:sz w:val="22"/>
          <w:szCs w:val="22"/>
          <w:lang w:val="en-GB"/>
        </w:rPr>
        <w:t>Helping to identify any weakness in the school’s safeguarding system</w:t>
      </w:r>
    </w:p>
    <w:p>
      <w:pPr>
        <w:pStyle w:val="1bodycopy10pt"/>
        <w:rPr>
          <w:rFonts w:asciiTheme="minorHAnsi" w:hAnsiTheme="minorHAnsi" w:cstheme="minorHAnsi"/>
          <w:lang w:val="en-GB"/>
        </w:rPr>
      </w:pPr>
    </w:p>
    <w:p>
      <w:pPr>
        <w:pStyle w:val="Subhead2"/>
        <w:spacing w:before="0" w:after="0"/>
        <w:rPr>
          <w:rFonts w:asciiTheme="minorHAnsi" w:hAnsiTheme="minorHAnsi" w:cstheme="minorHAnsi"/>
          <w:sz w:val="22"/>
          <w:szCs w:val="22"/>
          <w:lang w:val="en-GB"/>
        </w:rPr>
      </w:pPr>
      <w:r>
        <w:rPr>
          <w:rFonts w:asciiTheme="minorHAnsi" w:hAnsiTheme="minorHAnsi" w:cstheme="minorHAnsi"/>
          <w:color w:val="auto"/>
          <w:sz w:val="22"/>
          <w:szCs w:val="22"/>
          <w:lang w:val="en-GB"/>
        </w:rPr>
        <w:t>Responding to low-level concerns</w:t>
      </w:r>
    </w:p>
    <w:p>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t>If the concern is raised via a third party, the headteacher will collect evidence where necessary by speaking:</w:t>
      </w:r>
    </w:p>
    <w:p>
      <w:pPr>
        <w:pStyle w:val="4Bulletedcopyblue"/>
        <w:numPr>
          <w:ilvl w:val="0"/>
          <w:numId w:val="91"/>
        </w:numPr>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Directly to the person who raised the concern, unless it has been raised anonymously </w:t>
      </w:r>
    </w:p>
    <w:p>
      <w:pPr>
        <w:pStyle w:val="4Bulletedcopyblue"/>
        <w:numPr>
          <w:ilvl w:val="0"/>
          <w:numId w:val="91"/>
        </w:numPr>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To the individual involved and any witnesses  </w:t>
      </w:r>
    </w:p>
    <w:p>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The headteacher will use the information collected to categorise the type of behaviour and determine any further action, in line with the school’s staff code of conduct. The headteacher will be the ultimate decision-maker in respect of all low-level concerns, though they may wish to collaborate with the DSL.  </w:t>
      </w:r>
    </w:p>
    <w:p>
      <w:pPr>
        <w:pStyle w:val="1bodycopy10pt"/>
        <w:rPr>
          <w:lang w:val="en-GB"/>
        </w:rPr>
      </w:pPr>
    </w:p>
    <w:p>
      <w:r>
        <w:rPr>
          <w:noProof/>
          <w:highlight w:val="yellow"/>
          <w:lang w:val="en-GB"/>
        </w:rPr>
        <w:lastRenderedPageBreak/>
        <w:drawing>
          <wp:inline distT="0" distB="0" distL="0" distR="0">
            <wp:extent cx="5894705" cy="6594764"/>
            <wp:effectExtent l="0" t="0" r="0" b="0"/>
            <wp:docPr id="233" name="Picture 23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6">
                      <a:extLst>
                        <a:ext uri="{28A0092B-C50C-407E-A947-70E740481C1C}">
                          <a14:useLocalDpi xmlns:a14="http://schemas.microsoft.com/office/drawing/2010/main" val="0"/>
                        </a:ext>
                      </a:extLst>
                    </a:blip>
                    <a:stretch>
                      <a:fillRect/>
                    </a:stretch>
                  </pic:blipFill>
                  <pic:spPr>
                    <a:xfrm>
                      <a:off x="0" y="0"/>
                      <a:ext cx="5910152" cy="6612046"/>
                    </a:xfrm>
                    <a:prstGeom prst="rect">
                      <a:avLst/>
                    </a:prstGeom>
                  </pic:spPr>
                </pic:pic>
              </a:graphicData>
            </a:graphic>
          </wp:inline>
        </w:drawing>
      </w:r>
    </w:p>
    <w:p>
      <w:pPr>
        <w:pStyle w:val="Subhead2"/>
        <w:spacing w:before="0" w:after="0"/>
        <w:rPr>
          <w:rFonts w:asciiTheme="minorHAnsi" w:hAnsiTheme="minorHAnsi" w:cstheme="minorHAnsi"/>
          <w:color w:val="auto"/>
          <w:szCs w:val="22"/>
          <w:lang w:val="en-GB"/>
        </w:rPr>
      </w:pPr>
      <w:r>
        <w:rPr>
          <w:rFonts w:asciiTheme="minorHAnsi" w:hAnsiTheme="minorHAnsi" w:cstheme="minorHAnsi"/>
          <w:color w:val="auto"/>
          <w:szCs w:val="22"/>
          <w:lang w:val="en-GB"/>
        </w:rPr>
        <w:t>Record keeping</w:t>
      </w:r>
    </w:p>
    <w:p>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All low-level concerns will be recorded in writing. In addition to details of the concern raised, records will include the context in which the concern arose, any action taken and the rationale for decisions and action taken. </w:t>
      </w:r>
    </w:p>
    <w:p>
      <w:pPr>
        <w:pStyle w:val="1bodycopy10pt"/>
        <w:spacing w:after="0"/>
        <w:rPr>
          <w:rFonts w:asciiTheme="minorHAnsi" w:hAnsiTheme="minorHAnsi" w:cstheme="minorHAnsi"/>
          <w:sz w:val="22"/>
          <w:szCs w:val="22"/>
          <w:lang w:val="en-GB"/>
        </w:rPr>
      </w:pPr>
    </w:p>
    <w:p>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t>Records will be:</w:t>
      </w:r>
    </w:p>
    <w:p>
      <w:pPr>
        <w:pStyle w:val="4Bulletedcopyblue"/>
        <w:numPr>
          <w:ilvl w:val="0"/>
          <w:numId w:val="92"/>
        </w:numPr>
        <w:spacing w:after="0"/>
        <w:rPr>
          <w:rFonts w:asciiTheme="minorHAnsi" w:hAnsiTheme="minorHAnsi" w:cstheme="minorHAnsi"/>
          <w:sz w:val="22"/>
          <w:szCs w:val="22"/>
          <w:lang w:val="en-GB"/>
        </w:rPr>
      </w:pPr>
      <w:r>
        <w:rPr>
          <w:rFonts w:asciiTheme="minorHAnsi" w:hAnsiTheme="minorHAnsi" w:cstheme="minorHAnsi"/>
          <w:sz w:val="22"/>
          <w:szCs w:val="22"/>
          <w:lang w:val="en-GB"/>
        </w:rPr>
        <w:t>Kept confidential, held securely and comply with the DPA 2018 and UK GDPR</w:t>
      </w:r>
    </w:p>
    <w:p>
      <w:pPr>
        <w:pStyle w:val="4Bulletedcopyblue"/>
        <w:numPr>
          <w:ilvl w:val="0"/>
          <w:numId w:val="92"/>
        </w:numPr>
        <w:spacing w:after="0"/>
        <w:rPr>
          <w:rFonts w:asciiTheme="minorHAnsi" w:hAnsiTheme="minorHAnsi" w:cstheme="minorHAnsi"/>
          <w:sz w:val="22"/>
          <w:szCs w:val="22"/>
          <w:lang w:val="en-GB"/>
        </w:rPr>
      </w:pPr>
      <w:r>
        <w:rPr>
          <w:rFonts w:asciiTheme="minorHAnsi" w:hAnsiTheme="minorHAnsi" w:cstheme="minorHAnsi"/>
          <w:sz w:val="22"/>
          <w:szCs w:val="22"/>
          <w:lang w:val="en-GB"/>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as described in section 1 of this appendix, we will refer it to the designated officer at the local authority </w:t>
      </w:r>
    </w:p>
    <w:p>
      <w:pPr>
        <w:pStyle w:val="4Bulletedcopyblue"/>
        <w:numPr>
          <w:ilvl w:val="0"/>
          <w:numId w:val="92"/>
        </w:numPr>
        <w:spacing w:after="0"/>
        <w:rPr>
          <w:rFonts w:asciiTheme="minorHAnsi" w:hAnsiTheme="minorHAnsi" w:cstheme="minorHAnsi"/>
          <w:sz w:val="22"/>
          <w:szCs w:val="22"/>
          <w:lang w:val="en-GB"/>
        </w:rPr>
      </w:pPr>
      <w:r>
        <w:rPr>
          <w:rFonts w:asciiTheme="minorHAnsi" w:hAnsiTheme="minorHAnsi" w:cstheme="minorHAnsi"/>
          <w:sz w:val="22"/>
          <w:szCs w:val="22"/>
          <w:lang w:val="en-GB"/>
        </w:rPr>
        <w:t>Retained at least until the individual leaves employment at the school</w:t>
      </w:r>
      <w:r>
        <w:rPr>
          <w:rFonts w:asciiTheme="minorHAnsi" w:hAnsiTheme="minorHAnsi" w:cstheme="minorHAnsi"/>
          <w:b/>
          <w:sz w:val="22"/>
          <w:szCs w:val="22"/>
          <w:lang w:val="en-GB"/>
        </w:rPr>
        <w:t xml:space="preserve"> </w:t>
      </w:r>
    </w:p>
    <w:p>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t>Where a low-level concern relates to a supply teacher or contractor, we will notify the individual’s employer, so any potential patterns of inappropriate behaviour can be identified.</w:t>
      </w:r>
    </w:p>
    <w:tbl>
      <w:tblPr>
        <w:tblStyle w:val="TableGrid"/>
        <w:tblW w:w="10774" w:type="dxa"/>
        <w:jc w:val="center"/>
        <w:tblLook w:val="04A0" w:firstRow="1" w:lastRow="0" w:firstColumn="1" w:lastColumn="0" w:noHBand="0" w:noVBand="1"/>
      </w:tblPr>
      <w:tblGrid>
        <w:gridCol w:w="4253"/>
        <w:gridCol w:w="6521"/>
      </w:tblGrid>
      <w:tr>
        <w:trPr>
          <w:trHeight w:val="541"/>
          <w:jc w:val="center"/>
        </w:trPr>
        <w:tc>
          <w:tcPr>
            <w:tcW w:w="10774" w:type="dxa"/>
            <w:gridSpan w:val="2"/>
            <w:shd w:val="clear" w:color="auto" w:fill="D9D9D9" w:themeFill="background1" w:themeFillShade="D9"/>
            <w:vAlign w:val="center"/>
          </w:tcPr>
          <w:p>
            <w:pPr>
              <w:jc w:val="center"/>
              <w:rPr>
                <w:rFonts w:eastAsia="Times New Roman" w:cs="Arial"/>
                <w:b/>
                <w:sz w:val="24"/>
              </w:rPr>
            </w:pPr>
            <w:r>
              <w:rPr>
                <w:rFonts w:eastAsia="Times New Roman" w:cs="Arial"/>
                <w:b/>
                <w:sz w:val="24"/>
              </w:rPr>
              <w:lastRenderedPageBreak/>
              <w:t>Low Level Concerns Reporting Form</w:t>
            </w:r>
          </w:p>
          <w:p>
            <w:pPr>
              <w:jc w:val="center"/>
              <w:rPr>
                <w:rFonts w:eastAsia="Times New Roman" w:cs="Arial"/>
                <w:b/>
                <w:sz w:val="6"/>
              </w:rPr>
            </w:pPr>
          </w:p>
          <w:p>
            <w:pPr>
              <w:rPr>
                <w:rFonts w:eastAsia="Times New Roman" w:cs="Arial"/>
              </w:rPr>
            </w:pPr>
            <w:r>
              <w:rPr>
                <w:rFonts w:eastAsia="Times New Roman" w:cs="Arial"/>
              </w:rPr>
              <w:t xml:space="preserve">Please use this form to share any concern – no matter how small, and even if no more than a ‘nagging doubt’ – that an adult may have acted in a manner which: </w:t>
            </w:r>
          </w:p>
          <w:p>
            <w:pPr>
              <w:numPr>
                <w:ilvl w:val="0"/>
                <w:numId w:val="70"/>
              </w:numPr>
              <w:rPr>
                <w:rFonts w:eastAsia="Times New Roman" w:cs="Arial"/>
              </w:rPr>
            </w:pPr>
            <w:r>
              <w:rPr>
                <w:rFonts w:eastAsia="Times New Roman" w:cs="Arial"/>
              </w:rPr>
              <w:t xml:space="preserve">is not consistent with Highfield’s School’s Code of Conduct, and/or </w:t>
            </w:r>
          </w:p>
          <w:p>
            <w:pPr>
              <w:numPr>
                <w:ilvl w:val="0"/>
                <w:numId w:val="70"/>
              </w:numPr>
              <w:rPr>
                <w:rFonts w:eastAsia="Times New Roman" w:cs="Arial"/>
                <w:b/>
              </w:rPr>
            </w:pPr>
            <w:r>
              <w:rPr>
                <w:rFonts w:eastAsia="Times New Roman" w:cs="Arial"/>
              </w:rPr>
              <w:t>relates to their conduct outside of work which, even if not linked to a particular act or omission, has caused a sense of unease about that adult’s suitability to work with children.</w:t>
            </w:r>
          </w:p>
          <w:p>
            <w:pPr>
              <w:rPr>
                <w:rFonts w:eastAsia="Times New Roman" w:cs="Arial"/>
                <w:b/>
              </w:rPr>
            </w:pPr>
          </w:p>
          <w:p>
            <w:pPr>
              <w:rPr>
                <w:rFonts w:eastAsia="Times New Roman" w:cs="Arial"/>
                <w:b/>
              </w:rPr>
            </w:pPr>
            <w:r>
              <w:rPr>
                <w:rFonts w:eastAsia="Times New Roman" w:cs="Arial"/>
                <w:b/>
              </w:rPr>
              <w:t xml:space="preserve">Where possible, please speak to the Headteacher as soon as possible. If the concern is about the Headteacher, please pass it onto the Chair of Governors or email them at </w:t>
            </w:r>
            <w:r>
              <w:rPr>
                <w:rFonts w:eastAsia="Times New Roman" w:cs="Arial"/>
                <w:b/>
                <w:color w:val="0000FF"/>
              </w:rPr>
              <w:t>_________________________</w:t>
            </w:r>
          </w:p>
          <w:p>
            <w:pPr>
              <w:jc w:val="center"/>
              <w:rPr>
                <w:rFonts w:eastAsia="Times New Roman" w:cs="Arial"/>
              </w:rPr>
            </w:pPr>
          </w:p>
        </w:tc>
      </w:tr>
      <w:tr>
        <w:trPr>
          <w:trHeight w:val="500"/>
          <w:jc w:val="center"/>
        </w:trPr>
        <w:tc>
          <w:tcPr>
            <w:tcW w:w="4253" w:type="dxa"/>
            <w:vAlign w:val="center"/>
          </w:tcPr>
          <w:p>
            <w:pPr>
              <w:rPr>
                <w:rFonts w:eastAsia="Times New Roman" w:cs="Arial"/>
                <w:b/>
                <w:szCs w:val="24"/>
              </w:rPr>
            </w:pPr>
            <w:r>
              <w:rPr>
                <w:rFonts w:eastAsia="Times New Roman" w:cs="Arial"/>
                <w:b/>
                <w:szCs w:val="24"/>
              </w:rPr>
              <w:t>Name (Optional):</w:t>
            </w:r>
          </w:p>
        </w:tc>
        <w:tc>
          <w:tcPr>
            <w:tcW w:w="6521" w:type="dxa"/>
          </w:tcPr>
          <w:p>
            <w:pPr>
              <w:rPr>
                <w:rFonts w:eastAsia="Times New Roman" w:cs="Arial"/>
              </w:rPr>
            </w:pPr>
          </w:p>
        </w:tc>
      </w:tr>
      <w:tr>
        <w:trPr>
          <w:trHeight w:val="564"/>
          <w:jc w:val="center"/>
        </w:trPr>
        <w:tc>
          <w:tcPr>
            <w:tcW w:w="4253" w:type="dxa"/>
            <w:vAlign w:val="center"/>
          </w:tcPr>
          <w:p>
            <w:pPr>
              <w:rPr>
                <w:rFonts w:eastAsia="Times New Roman" w:cs="Arial"/>
                <w:b/>
                <w:szCs w:val="24"/>
              </w:rPr>
            </w:pPr>
            <w:r>
              <w:rPr>
                <w:rFonts w:eastAsia="Times New Roman" w:cs="Arial"/>
                <w:b/>
                <w:szCs w:val="24"/>
              </w:rPr>
              <w:t>Role:</w:t>
            </w:r>
          </w:p>
        </w:tc>
        <w:tc>
          <w:tcPr>
            <w:tcW w:w="6521" w:type="dxa"/>
          </w:tcPr>
          <w:p>
            <w:pPr>
              <w:rPr>
                <w:rFonts w:eastAsia="Times New Roman" w:cs="Arial"/>
              </w:rPr>
            </w:pPr>
          </w:p>
        </w:tc>
      </w:tr>
      <w:tr>
        <w:trPr>
          <w:trHeight w:val="558"/>
          <w:jc w:val="center"/>
        </w:trPr>
        <w:tc>
          <w:tcPr>
            <w:tcW w:w="4253" w:type="dxa"/>
            <w:vAlign w:val="center"/>
          </w:tcPr>
          <w:p>
            <w:pPr>
              <w:rPr>
                <w:rFonts w:eastAsia="Times New Roman" w:cs="Arial"/>
                <w:b/>
                <w:szCs w:val="24"/>
              </w:rPr>
            </w:pPr>
            <w:r>
              <w:rPr>
                <w:rFonts w:eastAsia="Times New Roman" w:cs="Arial"/>
                <w:b/>
                <w:szCs w:val="24"/>
              </w:rPr>
              <w:t>Date and time completing this form:</w:t>
            </w:r>
          </w:p>
        </w:tc>
        <w:tc>
          <w:tcPr>
            <w:tcW w:w="6521" w:type="dxa"/>
          </w:tcPr>
          <w:p>
            <w:pPr>
              <w:rPr>
                <w:rFonts w:eastAsia="Times New Roman" w:cs="Arial"/>
              </w:rPr>
            </w:pPr>
          </w:p>
        </w:tc>
      </w:tr>
      <w:tr>
        <w:trPr>
          <w:trHeight w:val="576"/>
          <w:jc w:val="center"/>
        </w:trPr>
        <w:tc>
          <w:tcPr>
            <w:tcW w:w="10774" w:type="dxa"/>
            <w:gridSpan w:val="2"/>
            <w:shd w:val="clear" w:color="auto" w:fill="D9D9D9" w:themeFill="background1" w:themeFillShade="D9"/>
            <w:vAlign w:val="center"/>
          </w:tcPr>
          <w:p>
            <w:pPr>
              <w:jc w:val="center"/>
              <w:rPr>
                <w:rFonts w:eastAsia="Times New Roman" w:cs="Arial"/>
                <w:b/>
              </w:rPr>
            </w:pPr>
            <w:r>
              <w:rPr>
                <w:rFonts w:eastAsia="Times New Roman" w:cs="Arial"/>
                <w:b/>
              </w:rPr>
              <w:t>Details of individual for whom the concern is about</w:t>
            </w:r>
          </w:p>
        </w:tc>
      </w:tr>
      <w:tr>
        <w:trPr>
          <w:trHeight w:val="532"/>
          <w:jc w:val="center"/>
        </w:trPr>
        <w:tc>
          <w:tcPr>
            <w:tcW w:w="4253" w:type="dxa"/>
            <w:vAlign w:val="center"/>
          </w:tcPr>
          <w:p>
            <w:pPr>
              <w:rPr>
                <w:rFonts w:eastAsia="Times New Roman" w:cs="Arial"/>
                <w:b/>
                <w:szCs w:val="24"/>
              </w:rPr>
            </w:pPr>
            <w:r>
              <w:rPr>
                <w:rFonts w:eastAsia="Times New Roman" w:cs="Arial"/>
                <w:b/>
                <w:szCs w:val="24"/>
              </w:rPr>
              <w:t>Name:</w:t>
            </w:r>
          </w:p>
        </w:tc>
        <w:tc>
          <w:tcPr>
            <w:tcW w:w="6521" w:type="dxa"/>
          </w:tcPr>
          <w:p>
            <w:pPr>
              <w:rPr>
                <w:rFonts w:eastAsia="Times New Roman" w:cs="Arial"/>
                <w:b/>
              </w:rPr>
            </w:pPr>
          </w:p>
        </w:tc>
      </w:tr>
      <w:tr>
        <w:trPr>
          <w:trHeight w:val="566"/>
          <w:jc w:val="center"/>
        </w:trPr>
        <w:tc>
          <w:tcPr>
            <w:tcW w:w="4253" w:type="dxa"/>
            <w:vAlign w:val="center"/>
          </w:tcPr>
          <w:p>
            <w:pPr>
              <w:rPr>
                <w:rFonts w:eastAsia="Times New Roman" w:cs="Arial"/>
                <w:b/>
                <w:szCs w:val="24"/>
              </w:rPr>
            </w:pPr>
            <w:r>
              <w:rPr>
                <w:rFonts w:eastAsia="Times New Roman" w:cs="Arial"/>
                <w:b/>
                <w:szCs w:val="24"/>
              </w:rPr>
              <w:t>Role:</w:t>
            </w:r>
          </w:p>
        </w:tc>
        <w:tc>
          <w:tcPr>
            <w:tcW w:w="6521" w:type="dxa"/>
          </w:tcPr>
          <w:p>
            <w:pPr>
              <w:rPr>
                <w:rFonts w:eastAsia="Times New Roman" w:cs="Arial"/>
                <w:b/>
              </w:rPr>
            </w:pPr>
          </w:p>
        </w:tc>
      </w:tr>
      <w:tr>
        <w:trPr>
          <w:trHeight w:val="519"/>
          <w:jc w:val="center"/>
        </w:trPr>
        <w:tc>
          <w:tcPr>
            <w:tcW w:w="10774" w:type="dxa"/>
            <w:gridSpan w:val="2"/>
            <w:shd w:val="clear" w:color="auto" w:fill="D9D9D9" w:themeFill="background1" w:themeFillShade="D9"/>
            <w:vAlign w:val="center"/>
          </w:tcPr>
          <w:p>
            <w:pPr>
              <w:jc w:val="center"/>
              <w:rPr>
                <w:rFonts w:eastAsia="Times New Roman" w:cs="Arial"/>
              </w:rPr>
            </w:pPr>
            <w:r>
              <w:rPr>
                <w:rFonts w:eastAsia="Times New Roman" w:cs="Arial"/>
                <w:b/>
              </w:rPr>
              <w:t>Details of Concerns</w:t>
            </w:r>
            <w:r>
              <w:rPr>
                <w:rFonts w:eastAsia="Times New Roman" w:cs="Arial"/>
              </w:rPr>
              <w:t xml:space="preserve"> </w:t>
            </w:r>
          </w:p>
        </w:tc>
      </w:tr>
      <w:tr>
        <w:trPr>
          <w:trHeight w:val="3193"/>
          <w:jc w:val="center"/>
        </w:trPr>
        <w:tc>
          <w:tcPr>
            <w:tcW w:w="10774" w:type="dxa"/>
            <w:gridSpan w:val="2"/>
            <w:shd w:val="clear" w:color="auto" w:fill="FFFFFF" w:themeFill="background1"/>
          </w:tcPr>
          <w:p>
            <w:pPr>
              <w:rPr>
                <w:rFonts w:eastAsia="Times New Roman" w:cs="Arial"/>
              </w:rPr>
            </w:pPr>
            <w:r>
              <w:rPr>
                <w:rFonts w:eastAsia="Times New Roman" w:cs="Arial"/>
              </w:rPr>
              <w:t xml:space="preserve">Please provide a concise record – including brief context in which the low-level concern arose, and details which are chronological, and as precise and accurate as possible – of any such concern and relevant incident(s) (and please use a separate sheet if necessary). The record should be signed, timed and dated. </w:t>
            </w:r>
          </w:p>
          <w:p>
            <w:pPr>
              <w:rPr>
                <w:rFonts w:eastAsia="Times New Roman" w:cs="Arial"/>
              </w:rPr>
            </w:pPr>
          </w:p>
          <w:p>
            <w:pPr>
              <w:rPr>
                <w:rFonts w:eastAsia="Times New Roman" w:cs="Arial"/>
              </w:rPr>
            </w:pPr>
          </w:p>
          <w:p>
            <w:pPr>
              <w:rPr>
                <w:rFonts w:eastAsia="Times New Roman" w:cs="Arial"/>
              </w:rPr>
            </w:pPr>
          </w:p>
          <w:p>
            <w:pPr>
              <w:rPr>
                <w:rFonts w:eastAsia="Times New Roman" w:cs="Arial"/>
              </w:rPr>
            </w:pPr>
          </w:p>
          <w:p>
            <w:pPr>
              <w:rPr>
                <w:rFonts w:eastAsia="Times New Roman" w:cs="Arial"/>
              </w:rPr>
            </w:pPr>
          </w:p>
          <w:p>
            <w:pPr>
              <w:rPr>
                <w:rFonts w:eastAsia="Times New Roman" w:cs="Arial"/>
              </w:rPr>
            </w:pPr>
          </w:p>
          <w:p>
            <w:pPr>
              <w:rPr>
                <w:rFonts w:eastAsia="Times New Roman" w:cs="Arial"/>
                <w:b/>
              </w:rPr>
            </w:pPr>
          </w:p>
        </w:tc>
      </w:tr>
      <w:tr>
        <w:trPr>
          <w:trHeight w:val="519"/>
          <w:jc w:val="center"/>
        </w:trPr>
        <w:tc>
          <w:tcPr>
            <w:tcW w:w="4253" w:type="dxa"/>
            <w:shd w:val="clear" w:color="auto" w:fill="FFFFFF" w:themeFill="background1"/>
            <w:vAlign w:val="center"/>
          </w:tcPr>
          <w:p>
            <w:pPr>
              <w:rPr>
                <w:rFonts w:eastAsia="Times New Roman" w:cs="Arial"/>
                <w:b/>
                <w:szCs w:val="24"/>
              </w:rPr>
            </w:pPr>
            <w:r>
              <w:rPr>
                <w:rFonts w:eastAsia="Times New Roman" w:cs="Arial"/>
                <w:b/>
                <w:szCs w:val="24"/>
              </w:rPr>
              <w:t>Signature:</w:t>
            </w:r>
          </w:p>
        </w:tc>
        <w:tc>
          <w:tcPr>
            <w:tcW w:w="6521" w:type="dxa"/>
            <w:shd w:val="clear" w:color="auto" w:fill="FFFFFF" w:themeFill="background1"/>
            <w:vAlign w:val="center"/>
          </w:tcPr>
          <w:p>
            <w:pPr>
              <w:rPr>
                <w:rFonts w:eastAsia="Times New Roman" w:cs="Arial"/>
                <w:b/>
                <w:sz w:val="24"/>
                <w:szCs w:val="24"/>
              </w:rPr>
            </w:pPr>
          </w:p>
        </w:tc>
      </w:tr>
      <w:tr>
        <w:trPr>
          <w:trHeight w:val="519"/>
          <w:jc w:val="center"/>
        </w:trPr>
        <w:tc>
          <w:tcPr>
            <w:tcW w:w="10774" w:type="dxa"/>
            <w:gridSpan w:val="2"/>
            <w:shd w:val="clear" w:color="auto" w:fill="D9D9D9" w:themeFill="background1" w:themeFillShade="D9"/>
            <w:vAlign w:val="center"/>
          </w:tcPr>
          <w:p>
            <w:pPr>
              <w:jc w:val="center"/>
              <w:rPr>
                <w:rFonts w:eastAsia="Times New Roman" w:cs="Arial"/>
                <w:b/>
                <w:sz w:val="24"/>
                <w:szCs w:val="24"/>
              </w:rPr>
            </w:pPr>
            <w:r>
              <w:rPr>
                <w:rFonts w:eastAsia="Times New Roman" w:cs="Arial"/>
                <w:b/>
                <w:sz w:val="24"/>
                <w:szCs w:val="24"/>
              </w:rPr>
              <w:t>For use by Headteacher upon receipt of the concern</w:t>
            </w:r>
          </w:p>
        </w:tc>
      </w:tr>
      <w:tr>
        <w:trPr>
          <w:trHeight w:val="519"/>
          <w:jc w:val="center"/>
        </w:trPr>
        <w:tc>
          <w:tcPr>
            <w:tcW w:w="4253" w:type="dxa"/>
            <w:shd w:val="clear" w:color="auto" w:fill="FFFFFF" w:themeFill="background1"/>
            <w:vAlign w:val="center"/>
          </w:tcPr>
          <w:p>
            <w:pPr>
              <w:rPr>
                <w:rFonts w:eastAsia="Times New Roman" w:cs="Arial"/>
                <w:b/>
                <w:szCs w:val="24"/>
              </w:rPr>
            </w:pPr>
            <w:r>
              <w:rPr>
                <w:rFonts w:eastAsia="Times New Roman" w:cs="Arial"/>
                <w:b/>
                <w:szCs w:val="24"/>
              </w:rPr>
              <w:t>Date and time concern received:</w:t>
            </w:r>
          </w:p>
        </w:tc>
        <w:tc>
          <w:tcPr>
            <w:tcW w:w="6521" w:type="dxa"/>
            <w:shd w:val="clear" w:color="auto" w:fill="FFFFFF" w:themeFill="background1"/>
            <w:vAlign w:val="center"/>
          </w:tcPr>
          <w:p>
            <w:pPr>
              <w:rPr>
                <w:rFonts w:eastAsia="Times New Roman" w:cs="Arial"/>
                <w:b/>
                <w:sz w:val="24"/>
                <w:szCs w:val="24"/>
              </w:rPr>
            </w:pPr>
          </w:p>
        </w:tc>
      </w:tr>
      <w:tr>
        <w:trPr>
          <w:trHeight w:val="519"/>
          <w:jc w:val="center"/>
        </w:trPr>
        <w:tc>
          <w:tcPr>
            <w:tcW w:w="4253" w:type="dxa"/>
            <w:shd w:val="clear" w:color="auto" w:fill="FFFFFF" w:themeFill="background1"/>
            <w:vAlign w:val="center"/>
          </w:tcPr>
          <w:p>
            <w:pPr>
              <w:rPr>
                <w:rFonts w:eastAsia="Times New Roman" w:cs="Arial"/>
                <w:b/>
                <w:szCs w:val="24"/>
              </w:rPr>
            </w:pPr>
            <w:r>
              <w:rPr>
                <w:rFonts w:eastAsia="Times New Roman" w:cs="Arial"/>
                <w:b/>
                <w:szCs w:val="24"/>
              </w:rPr>
              <w:t>Signature Role:</w:t>
            </w:r>
          </w:p>
        </w:tc>
        <w:tc>
          <w:tcPr>
            <w:tcW w:w="6521" w:type="dxa"/>
            <w:shd w:val="clear" w:color="auto" w:fill="FFFFFF" w:themeFill="background1"/>
            <w:vAlign w:val="center"/>
          </w:tcPr>
          <w:p>
            <w:pPr>
              <w:rPr>
                <w:rFonts w:eastAsia="Times New Roman" w:cs="Arial"/>
                <w:b/>
                <w:sz w:val="24"/>
                <w:szCs w:val="24"/>
              </w:rPr>
            </w:pPr>
          </w:p>
        </w:tc>
      </w:tr>
      <w:tr>
        <w:trPr>
          <w:trHeight w:val="519"/>
          <w:jc w:val="center"/>
        </w:trPr>
        <w:tc>
          <w:tcPr>
            <w:tcW w:w="4253" w:type="dxa"/>
            <w:shd w:val="clear" w:color="auto" w:fill="FFFFFF" w:themeFill="background1"/>
            <w:vAlign w:val="center"/>
          </w:tcPr>
          <w:p>
            <w:pPr>
              <w:rPr>
                <w:rFonts w:eastAsia="Times New Roman" w:cs="Arial"/>
                <w:b/>
                <w:szCs w:val="24"/>
              </w:rPr>
            </w:pPr>
            <w:r>
              <w:rPr>
                <w:rFonts w:eastAsia="Times New Roman" w:cs="Arial"/>
                <w:b/>
                <w:szCs w:val="24"/>
              </w:rPr>
              <w:t>Actions to be taken and follow-up:</w:t>
            </w:r>
          </w:p>
        </w:tc>
        <w:tc>
          <w:tcPr>
            <w:tcW w:w="6521" w:type="dxa"/>
            <w:shd w:val="clear" w:color="auto" w:fill="FFFFFF" w:themeFill="background1"/>
            <w:vAlign w:val="center"/>
          </w:tcPr>
          <w:p>
            <w:pPr>
              <w:rPr>
                <w:rFonts w:eastAsia="Times New Roman" w:cs="Arial"/>
                <w:b/>
                <w:sz w:val="24"/>
                <w:szCs w:val="24"/>
              </w:rPr>
            </w:pPr>
          </w:p>
          <w:p>
            <w:pPr>
              <w:rPr>
                <w:rFonts w:eastAsia="Times New Roman" w:cs="Arial"/>
                <w:b/>
                <w:sz w:val="24"/>
                <w:szCs w:val="24"/>
              </w:rPr>
            </w:pPr>
          </w:p>
          <w:p>
            <w:pPr>
              <w:rPr>
                <w:rFonts w:eastAsia="Times New Roman" w:cs="Arial"/>
                <w:b/>
                <w:sz w:val="24"/>
                <w:szCs w:val="24"/>
              </w:rPr>
            </w:pPr>
          </w:p>
        </w:tc>
      </w:tr>
    </w:tbl>
    <w:p>
      <w:pPr>
        <w:pStyle w:val="Subhead2"/>
        <w:spacing w:before="0" w:after="0"/>
        <w:rPr>
          <w:sz w:val="22"/>
          <w:szCs w:val="22"/>
          <w:lang w:val="en-GB"/>
        </w:rPr>
      </w:pPr>
    </w:p>
    <w:p>
      <w:pPr>
        <w:pStyle w:val="Subhead2"/>
        <w:spacing w:before="0" w:after="0"/>
        <w:rPr>
          <w:rFonts w:asciiTheme="minorHAnsi" w:eastAsia="Arial" w:hAnsiTheme="minorHAnsi" w:cstheme="minorHAnsi"/>
          <w:b w:val="0"/>
          <w:color w:val="auto"/>
          <w:sz w:val="22"/>
          <w:szCs w:val="22"/>
          <w:lang w:val="en-GB"/>
        </w:rPr>
      </w:pPr>
      <w:r>
        <w:rPr>
          <w:rFonts w:asciiTheme="minorHAnsi" w:hAnsiTheme="minorHAnsi" w:cstheme="minorHAnsi"/>
          <w:color w:val="auto"/>
          <w:sz w:val="22"/>
          <w:szCs w:val="22"/>
          <w:lang w:val="en-GB"/>
        </w:rPr>
        <w:t>References</w:t>
      </w:r>
      <w:r>
        <w:rPr>
          <w:rFonts w:asciiTheme="minorHAnsi" w:eastAsia="Arial" w:hAnsiTheme="minorHAnsi" w:cstheme="minorHAnsi"/>
          <w:b w:val="0"/>
          <w:color w:val="auto"/>
          <w:sz w:val="22"/>
          <w:szCs w:val="22"/>
          <w:lang w:val="en-GB"/>
        </w:rPr>
        <w:t xml:space="preserve"> </w:t>
      </w:r>
    </w:p>
    <w:p>
      <w:pPr>
        <w:pStyle w:val="1bodycopy10pt"/>
        <w:spacing w:after="0"/>
        <w:rPr>
          <w:rFonts w:asciiTheme="minorHAnsi" w:hAnsiTheme="minorHAnsi" w:cstheme="minorHAnsi"/>
          <w:sz w:val="22"/>
          <w:szCs w:val="22"/>
          <w:lang w:val="en-GB"/>
        </w:rPr>
      </w:pPr>
      <w:r>
        <w:rPr>
          <w:rFonts w:asciiTheme="minorHAnsi" w:hAnsiTheme="minorHAnsi" w:cstheme="minorHAnsi"/>
          <w:sz w:val="22"/>
          <w:szCs w:val="22"/>
          <w:lang w:val="en-GB"/>
        </w:rPr>
        <w:t>We will not include low-level concerns in references unless:</w:t>
      </w:r>
    </w:p>
    <w:p>
      <w:pPr>
        <w:pStyle w:val="4Bulletedcopyblue"/>
        <w:numPr>
          <w:ilvl w:val="0"/>
          <w:numId w:val="69"/>
        </w:numPr>
        <w:spacing w:after="0"/>
        <w:ind w:left="340"/>
        <w:rPr>
          <w:rFonts w:asciiTheme="minorHAnsi" w:hAnsiTheme="minorHAnsi" w:cstheme="minorHAnsi"/>
          <w:sz w:val="22"/>
          <w:szCs w:val="22"/>
          <w:lang w:val="en-GB"/>
        </w:rPr>
      </w:pPr>
      <w:r>
        <w:rPr>
          <w:rFonts w:asciiTheme="minorHAnsi" w:hAnsiTheme="minorHAnsi" w:cstheme="minorHAnsi"/>
          <w:sz w:val="22"/>
          <w:szCs w:val="22"/>
          <w:lang w:val="en-GB"/>
        </w:rPr>
        <w:t>The concern (or group of concerns) has met the threshold for referral to the designated officer at the local authority and is found to be substantiated; and/or</w:t>
      </w:r>
    </w:p>
    <w:p>
      <w:pPr>
        <w:pStyle w:val="4Bulletedcopyblue"/>
        <w:numPr>
          <w:ilvl w:val="0"/>
          <w:numId w:val="69"/>
        </w:numPr>
        <w:spacing w:after="0"/>
        <w:ind w:left="340"/>
      </w:pPr>
      <w:r>
        <w:rPr>
          <w:rFonts w:asciiTheme="minorHAnsi" w:hAnsiTheme="minorHAnsi" w:cstheme="minorHAnsi"/>
          <w:sz w:val="22"/>
          <w:szCs w:val="22"/>
          <w:lang w:val="en-GB"/>
        </w:rPr>
        <w:t>The concern (or group of concerns) relates to issues which would ordinarily be included in a reference, such as misconduct or poor performance</w:t>
      </w:r>
    </w:p>
    <w:p>
      <w:pPr>
        <w:spacing w:before="240" w:after="240"/>
        <w:rPr>
          <w:b/>
          <w:sz w:val="16"/>
          <w:szCs w:val="16"/>
          <w:u w:val="single"/>
        </w:rPr>
      </w:pPr>
    </w:p>
    <w:tbl>
      <w:tblPr>
        <w:tblStyle w:val="a1"/>
        <w:tblW w:w="9025" w:type="dxa"/>
        <w:tblBorders>
          <w:top w:val="nil"/>
          <w:left w:val="nil"/>
          <w:bottom w:val="nil"/>
          <w:right w:val="nil"/>
          <w:insideH w:val="nil"/>
          <w:insideV w:val="nil"/>
        </w:tblBorders>
        <w:tblLayout w:type="fixed"/>
        <w:tblLook w:val="0600" w:firstRow="0" w:lastRow="0" w:firstColumn="0" w:lastColumn="0" w:noHBand="1" w:noVBand="1"/>
      </w:tblPr>
      <w:tblGrid>
        <w:gridCol w:w="9025"/>
      </w:tblGrid>
      <w:tr>
        <w:trPr>
          <w:trHeight w:val="450"/>
        </w:trPr>
        <w:tc>
          <w:tcPr>
            <w:tcW w:w="9025" w:type="dxa"/>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pPr>
              <w:spacing w:before="240" w:after="0" w:line="276" w:lineRule="auto"/>
              <w:rPr>
                <w:b/>
                <w:sz w:val="32"/>
                <w:szCs w:val="32"/>
              </w:rPr>
            </w:pPr>
            <w:r>
              <w:rPr>
                <w:b/>
                <w:sz w:val="32"/>
                <w:szCs w:val="32"/>
              </w:rPr>
              <w:t>Southampton Safeguarding Contacts &amp; Numbers</w:t>
            </w:r>
          </w:p>
        </w:tc>
      </w:tr>
      <w:tr>
        <w:trPr>
          <w:trHeight w:val="750"/>
        </w:trPr>
        <w:tc>
          <w:tcPr>
            <w:tcW w:w="9025"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pPr>
              <w:spacing w:before="240" w:after="0" w:line="276" w:lineRule="auto"/>
              <w:rPr>
                <w:b/>
              </w:rPr>
            </w:pPr>
            <w:r>
              <w:rPr>
                <w:b/>
              </w:rPr>
              <w:t>The LA’s Strategic Lead Officer for Safeguarding in Education:</w:t>
            </w:r>
          </w:p>
          <w:p>
            <w:pPr>
              <w:spacing w:before="240" w:after="0" w:line="276" w:lineRule="auto"/>
              <w:rPr>
                <w:b/>
              </w:rPr>
            </w:pPr>
            <w:r>
              <w:rPr>
                <w:b/>
              </w:rPr>
              <w:t>Director for Children and Families: Robert Henderson</w:t>
            </w:r>
          </w:p>
        </w:tc>
      </w:tr>
      <w:tr>
        <w:trPr>
          <w:trHeight w:val="1155"/>
        </w:trPr>
        <w:tc>
          <w:tcPr>
            <w:tcW w:w="9025"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pPr>
              <w:spacing w:before="240" w:after="0" w:line="276" w:lineRule="auto"/>
              <w:rPr>
                <w:b/>
              </w:rPr>
            </w:pPr>
            <w:r>
              <w:rPr>
                <w:b/>
              </w:rPr>
              <w:t>Safeguarding Lead for Education Settings within Southampton Local Authority school improvement:</w:t>
            </w:r>
          </w:p>
          <w:p>
            <w:pPr>
              <w:spacing w:before="240" w:after="0" w:line="276" w:lineRule="auto"/>
              <w:rPr>
                <w:b/>
              </w:rPr>
            </w:pPr>
            <w:r>
              <w:rPr>
                <w:b/>
              </w:rPr>
              <w:t>Alison Philpott: Alison.philpott@southampton.gov.uk</w:t>
            </w:r>
          </w:p>
        </w:tc>
      </w:tr>
      <w:tr>
        <w:trPr>
          <w:trHeight w:val="1245"/>
        </w:trPr>
        <w:tc>
          <w:tcPr>
            <w:tcW w:w="9025"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pPr>
              <w:spacing w:before="240" w:after="0" w:line="276" w:lineRule="auto"/>
              <w:rPr>
                <w:b/>
              </w:rPr>
            </w:pPr>
            <w:r>
              <w:rPr>
                <w:b/>
              </w:rPr>
              <w:t>Southampton Local Authority Designated Officer (LADO):</w:t>
            </w:r>
          </w:p>
          <w:p>
            <w:pPr>
              <w:spacing w:before="240" w:after="0" w:line="276" w:lineRule="auto"/>
              <w:rPr>
                <w:b/>
              </w:rPr>
            </w:pPr>
            <w:r>
              <w:rPr>
                <w:b/>
              </w:rPr>
              <w:t>Jemma Swann Tel: 023 8091 5535 / 07500 952 037</w:t>
            </w:r>
          </w:p>
          <w:p>
            <w:pPr>
              <w:spacing w:before="240" w:after="0" w:line="276" w:lineRule="auto"/>
              <w:rPr>
                <w:b/>
                <w:highlight w:val="yellow"/>
              </w:rPr>
            </w:pPr>
            <w:r>
              <w:rPr>
                <w:b/>
              </w:rPr>
              <w:t>Email: lado@southampton.gov.uk</w:t>
            </w:r>
          </w:p>
        </w:tc>
      </w:tr>
      <w:tr>
        <w:trPr>
          <w:trHeight w:val="1245"/>
        </w:trPr>
        <w:tc>
          <w:tcPr>
            <w:tcW w:w="9025"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pPr>
              <w:spacing w:before="240" w:after="0" w:line="276" w:lineRule="auto"/>
              <w:rPr>
                <w:b/>
              </w:rPr>
            </w:pPr>
            <w:r>
              <w:rPr>
                <w:b/>
              </w:rPr>
              <w:t>Children’s Resource Service (Southampton’s Multi Safeguarding Hub)</w:t>
            </w:r>
          </w:p>
          <w:p>
            <w:pPr>
              <w:spacing w:before="240" w:after="0" w:line="276" w:lineRule="auto"/>
              <w:rPr>
                <w:b/>
              </w:rPr>
            </w:pPr>
            <w:r>
              <w:rPr>
                <w:b/>
              </w:rPr>
              <w:t xml:space="preserve">Tel: 023 80 832300 (Professionals Number) or 023 80833336 </w:t>
            </w:r>
          </w:p>
          <w:p>
            <w:pPr>
              <w:spacing w:before="240" w:after="0" w:line="276" w:lineRule="auto"/>
              <w:rPr>
                <w:b/>
              </w:rPr>
            </w:pPr>
            <w:r>
              <w:rPr>
                <w:b/>
              </w:rPr>
              <w:t>Out of hours team: 023 8023 3344</w:t>
            </w:r>
          </w:p>
          <w:p>
            <w:pPr>
              <w:spacing w:before="240" w:after="0" w:line="276" w:lineRule="auto"/>
              <w:rPr>
                <w:b/>
                <w:highlight w:val="yellow"/>
              </w:rPr>
            </w:pPr>
            <w:r>
              <w:rPr>
                <w:b/>
              </w:rPr>
              <w:t>Online referral https://scccrmportal.southampton.gov.uk/services/request-childrens-resource-service</w:t>
            </w:r>
          </w:p>
        </w:tc>
      </w:tr>
      <w:tr>
        <w:trPr>
          <w:trHeight w:val="765"/>
        </w:trPr>
        <w:tc>
          <w:tcPr>
            <w:tcW w:w="9025"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pPr>
              <w:spacing w:before="240" w:after="0" w:line="276" w:lineRule="auto"/>
              <w:rPr>
                <w:b/>
              </w:rPr>
            </w:pPr>
            <w:r>
              <w:rPr>
                <w:b/>
              </w:rPr>
              <w:t>Child Performance and Child Employment LA Lead:</w:t>
            </w:r>
          </w:p>
          <w:p>
            <w:pPr>
              <w:spacing w:before="240" w:after="0" w:line="276" w:lineRule="auto"/>
              <w:rPr>
                <w:b/>
              </w:rPr>
            </w:pPr>
            <w:r>
              <w:rPr>
                <w:b/>
              </w:rPr>
              <w:t>Grace Morris and Julie Stubbington: Child.Employment@Southampton.gov.uk</w:t>
            </w:r>
          </w:p>
        </w:tc>
      </w:tr>
      <w:tr>
        <w:trPr>
          <w:trHeight w:val="1740"/>
        </w:trPr>
        <w:tc>
          <w:tcPr>
            <w:tcW w:w="9025"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pPr>
              <w:spacing w:before="240" w:after="0" w:line="276" w:lineRule="auto"/>
              <w:rPr>
                <w:b/>
              </w:rPr>
            </w:pPr>
            <w:r>
              <w:rPr>
                <w:b/>
              </w:rPr>
              <w:t>Southampton Local Safeguarding Board:</w:t>
            </w:r>
          </w:p>
          <w:p>
            <w:pPr>
              <w:spacing w:before="240" w:after="0" w:line="276" w:lineRule="auto"/>
              <w:rPr>
                <w:b/>
              </w:rPr>
            </w:pPr>
            <w:r>
              <w:rPr>
                <w:b/>
              </w:rPr>
              <w:t>Independent Chair: Keith Makin</w:t>
            </w:r>
          </w:p>
          <w:p>
            <w:pPr>
              <w:spacing w:before="240" w:after="0" w:line="276" w:lineRule="auto"/>
              <w:rPr>
                <w:b/>
              </w:rPr>
            </w:pPr>
            <w:r>
              <w:rPr>
                <w:b/>
              </w:rPr>
              <w:t>Manager: Sarah Lawrence</w:t>
            </w:r>
          </w:p>
          <w:p>
            <w:pPr>
              <w:spacing w:before="240" w:after="0" w:line="276" w:lineRule="auto"/>
              <w:rPr>
                <w:b/>
              </w:rPr>
            </w:pPr>
            <w:r>
              <w:rPr>
                <w:b/>
              </w:rPr>
              <w:t>Tel: 023 8083 2995</w:t>
            </w:r>
          </w:p>
        </w:tc>
      </w:tr>
      <w:tr>
        <w:trPr>
          <w:trHeight w:val="1245"/>
        </w:trPr>
        <w:tc>
          <w:tcPr>
            <w:tcW w:w="9025"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pPr>
              <w:spacing w:before="240" w:after="0" w:line="276" w:lineRule="auto"/>
              <w:rPr>
                <w:b/>
              </w:rPr>
            </w:pPr>
            <w:r>
              <w:rPr>
                <w:b/>
              </w:rPr>
              <w:t>Prevent Officer for Hampshire and Southampton:</w:t>
            </w:r>
          </w:p>
          <w:p>
            <w:pPr>
              <w:spacing w:before="240" w:after="0" w:line="276" w:lineRule="auto"/>
              <w:rPr>
                <w:b/>
              </w:rPr>
            </w:pPr>
            <w:r>
              <w:rPr>
                <w:b/>
              </w:rPr>
              <w:t>Wendy Steward: Wendy.steward@hampshire.pnn.police.uk</w:t>
            </w:r>
          </w:p>
          <w:p>
            <w:pPr>
              <w:spacing w:before="240" w:after="0" w:line="276" w:lineRule="auto"/>
              <w:rPr>
                <w:b/>
              </w:rPr>
            </w:pPr>
            <w:r>
              <w:rPr>
                <w:b/>
              </w:rPr>
              <w:t>Tel: 07796191771</w:t>
            </w:r>
          </w:p>
        </w:tc>
      </w:tr>
      <w:tr>
        <w:trPr>
          <w:trHeight w:val="1245"/>
        </w:trPr>
        <w:tc>
          <w:tcPr>
            <w:tcW w:w="9025"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pPr>
              <w:spacing w:before="240" w:after="0" w:line="276" w:lineRule="auto"/>
              <w:rPr>
                <w:b/>
              </w:rPr>
            </w:pPr>
            <w:r>
              <w:rPr>
                <w:b/>
              </w:rPr>
              <w:t>Child Missing Education leader:</w:t>
            </w:r>
          </w:p>
          <w:p>
            <w:pPr>
              <w:spacing w:before="240" w:after="0" w:line="276" w:lineRule="auto"/>
              <w:rPr>
                <w:b/>
              </w:rPr>
            </w:pPr>
            <w:r>
              <w:rPr>
                <w:b/>
              </w:rPr>
              <w:t xml:space="preserve">Eliza Johnson (Civic Centre): Sophie.bains@southampton.gov.uk   </w:t>
            </w:r>
          </w:p>
          <w:p>
            <w:pPr>
              <w:spacing w:before="240" w:after="0" w:line="276" w:lineRule="auto"/>
              <w:rPr>
                <w:b/>
                <w:highlight w:val="yellow"/>
              </w:rPr>
            </w:pPr>
            <w:r>
              <w:rPr>
                <w:b/>
              </w:rPr>
              <w:t>Tel: 023 80833666</w:t>
            </w:r>
          </w:p>
        </w:tc>
      </w:tr>
      <w:tr>
        <w:trPr>
          <w:trHeight w:val="750"/>
        </w:trPr>
        <w:tc>
          <w:tcPr>
            <w:tcW w:w="9025"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pPr>
              <w:spacing w:before="240" w:after="0" w:line="276" w:lineRule="auto"/>
              <w:rPr>
                <w:b/>
              </w:rPr>
            </w:pPr>
            <w:r>
              <w:rPr>
                <w:b/>
              </w:rPr>
              <w:lastRenderedPageBreak/>
              <w:t>SCC MET hub lead:</w:t>
            </w:r>
          </w:p>
          <w:p>
            <w:pPr>
              <w:spacing w:before="240" w:after="0" w:line="276" w:lineRule="auto"/>
              <w:rPr>
                <w:b/>
                <w:color w:val="5B9BD5"/>
              </w:rPr>
            </w:pPr>
            <w:r>
              <w:rPr>
                <w:b/>
              </w:rPr>
              <w:t>Laura Tanner:</w:t>
            </w:r>
            <w:r>
              <w:rPr>
                <w:b/>
                <w:color w:val="FF0000"/>
              </w:rPr>
              <w:t xml:space="preserve"> </w:t>
            </w:r>
            <w:r>
              <w:rPr>
                <w:b/>
                <w:color w:val="5B9BD5"/>
              </w:rPr>
              <w:t>laura.tanner@southampton.gov.uk</w:t>
            </w:r>
          </w:p>
        </w:tc>
      </w:tr>
      <w:tr>
        <w:trPr>
          <w:trHeight w:val="1245"/>
        </w:trPr>
        <w:tc>
          <w:tcPr>
            <w:tcW w:w="9025"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pPr>
              <w:spacing w:before="240" w:after="0" w:line="276" w:lineRule="auto"/>
              <w:rPr>
                <w:b/>
              </w:rPr>
            </w:pPr>
            <w:r>
              <w:rPr>
                <w:b/>
              </w:rPr>
              <w:t>Lead for Vulnerable Pupil Officer:</w:t>
            </w:r>
          </w:p>
          <w:p>
            <w:pPr>
              <w:spacing w:before="240" w:after="0" w:line="276" w:lineRule="auto"/>
              <w:rPr>
                <w:b/>
              </w:rPr>
            </w:pPr>
            <w:r>
              <w:rPr>
                <w:b/>
              </w:rPr>
              <w:t>Tina Selby: Tina.selby@southampton.gov.uk</w:t>
            </w:r>
          </w:p>
          <w:p>
            <w:pPr>
              <w:spacing w:before="240" w:after="0" w:line="276" w:lineRule="auto"/>
              <w:rPr>
                <w:b/>
              </w:rPr>
            </w:pPr>
            <w:r>
              <w:rPr>
                <w:b/>
              </w:rPr>
              <w:t>Tel: 02380 833889</w:t>
            </w:r>
          </w:p>
        </w:tc>
      </w:tr>
      <w:tr>
        <w:trPr>
          <w:trHeight w:val="1245"/>
        </w:trPr>
        <w:tc>
          <w:tcPr>
            <w:tcW w:w="90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pPr>
              <w:spacing w:before="240" w:after="0" w:line="276" w:lineRule="auto"/>
              <w:rPr>
                <w:b/>
              </w:rPr>
            </w:pPr>
            <w:r>
              <w:rPr>
                <w:b/>
              </w:rPr>
              <w:t>Virtual Headteacher for Children Looked After:</w:t>
            </w:r>
          </w:p>
          <w:p>
            <w:pPr>
              <w:spacing w:before="240" w:after="0" w:line="276" w:lineRule="auto"/>
              <w:rPr>
                <w:b/>
              </w:rPr>
            </w:pPr>
            <w:r>
              <w:rPr>
                <w:b/>
              </w:rPr>
              <w:t>Maria Anderson: Maria.anderson@southampton.gov.uk</w:t>
            </w:r>
          </w:p>
          <w:p>
            <w:pPr>
              <w:spacing w:before="240" w:after="0" w:line="276" w:lineRule="auto"/>
              <w:rPr>
                <w:b/>
              </w:rPr>
            </w:pPr>
            <w:r>
              <w:rPr>
                <w:b/>
              </w:rPr>
              <w:t>Tel: 02380 833480</w:t>
            </w:r>
          </w:p>
        </w:tc>
      </w:tr>
      <w:tr>
        <w:trPr>
          <w:trHeight w:val="765"/>
        </w:trPr>
        <w:tc>
          <w:tcPr>
            <w:tcW w:w="90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pPr>
              <w:spacing w:before="240" w:after="0" w:line="276" w:lineRule="auto"/>
              <w:rPr>
                <w:b/>
              </w:rPr>
            </w:pPr>
            <w:r>
              <w:rPr>
                <w:b/>
              </w:rPr>
              <w:t>Queries regarding advice for children who have had/ever had a social worker</w:t>
            </w:r>
          </w:p>
          <w:p>
            <w:pPr>
              <w:spacing w:before="240" w:after="0" w:line="276" w:lineRule="auto"/>
              <w:rPr>
                <w:b/>
              </w:rPr>
            </w:pPr>
            <w:r>
              <w:rPr>
                <w:b/>
              </w:rPr>
              <w:t>helen.brown@southampton.gov.uk</w:t>
            </w:r>
          </w:p>
        </w:tc>
      </w:tr>
      <w:tr>
        <w:trPr>
          <w:trHeight w:val="1740"/>
        </w:trPr>
        <w:tc>
          <w:tcPr>
            <w:tcW w:w="90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pPr>
              <w:spacing w:before="240" w:after="0" w:line="276" w:lineRule="auto"/>
              <w:rPr>
                <w:b/>
              </w:rPr>
            </w:pPr>
            <w:r>
              <w:rPr>
                <w:b/>
                <w:color w:val="FF0000"/>
              </w:rPr>
              <w:t xml:space="preserve">Children and Families First Team </w:t>
            </w:r>
            <w:r>
              <w:rPr>
                <w:b/>
              </w:rPr>
              <w:t>(Early Help):</w:t>
            </w:r>
          </w:p>
          <w:p>
            <w:pPr>
              <w:spacing w:before="240" w:after="0" w:line="276" w:lineRule="auto"/>
              <w:rPr>
                <w:b/>
              </w:rPr>
            </w:pPr>
            <w:r>
              <w:rPr>
                <w:b/>
              </w:rPr>
              <w:t>Mia Wren</w:t>
            </w:r>
          </w:p>
          <w:p>
            <w:pPr>
              <w:spacing w:before="240" w:after="0" w:line="276" w:lineRule="auto"/>
              <w:rPr>
                <w:b/>
              </w:rPr>
            </w:pPr>
            <w:r>
              <w:rPr>
                <w:b/>
              </w:rPr>
              <w:t>Mia.wren@southampton.gov.uk</w:t>
            </w:r>
          </w:p>
          <w:p>
            <w:pPr>
              <w:spacing w:before="240" w:after="0" w:line="276" w:lineRule="auto"/>
              <w:rPr>
                <w:b/>
              </w:rPr>
            </w:pPr>
            <w:r>
              <w:rPr>
                <w:b/>
              </w:rPr>
              <w:t>Tel: 02380 833951</w:t>
            </w:r>
          </w:p>
        </w:tc>
      </w:tr>
      <w:tr>
        <w:trPr>
          <w:trHeight w:val="840"/>
        </w:trPr>
        <w:tc>
          <w:tcPr>
            <w:tcW w:w="90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pPr>
              <w:spacing w:before="240" w:after="0" w:line="276" w:lineRule="auto"/>
              <w:rPr>
                <w:b/>
                <w:color w:val="0000FF"/>
              </w:rPr>
            </w:pPr>
          </w:p>
        </w:tc>
      </w:tr>
    </w:tbl>
    <w:p/>
    <w:p>
      <w:pPr>
        <w:rPr>
          <w:rFonts w:ascii="Roboto" w:eastAsia="Roboto" w:hAnsi="Roboto" w:cs="Roboto"/>
          <w:b/>
          <w:color w:val="242424"/>
          <w:sz w:val="36"/>
          <w:szCs w:val="36"/>
          <w:shd w:val="clear" w:color="auto" w:fill="FAFAFA"/>
        </w:rPr>
      </w:pPr>
    </w:p>
    <w:sectPr>
      <w:footerReference w:type="default" r:id="rId87"/>
      <w:pgSz w:w="11906" w:h="16838"/>
      <w:pgMar w:top="964" w:right="1077" w:bottom="964" w:left="1077" w:header="567" w:footer="17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ind w:left="1276"/>
      <w:rPr>
        <w:color w:val="000000"/>
        <w:sz w:val="16"/>
        <w:szCs w:val="16"/>
      </w:rPr>
    </w:pP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jc w:val="right"/>
      <w:rPr>
        <w:rFonts w:ascii="Calibri Light" w:hAnsi="Calibri Light" w:cs="Calibri Light"/>
        <w:color w:val="000000"/>
        <w:sz w:val="16"/>
        <w:szCs w:val="16"/>
      </w:rPr>
    </w:pPr>
    <w:r>
      <w:rPr>
        <w:rFonts w:cs="Calibri Light"/>
        <w:color w:val="000000"/>
        <w:sz w:val="16"/>
        <w:szCs w:val="16"/>
      </w:rPr>
      <w:fldChar w:fldCharType="begin"/>
    </w:r>
    <w:r>
      <w:rPr>
        <w:rFonts w:cs="Calibri Light"/>
        <w:color w:val="000000"/>
        <w:sz w:val="16"/>
        <w:szCs w:val="16"/>
      </w:rPr>
      <w:instrText xml:space="preserve"> PAGE   \* MERGEFORMAT </w:instrText>
    </w:r>
    <w:r>
      <w:rPr>
        <w:rFonts w:cs="Calibri Light"/>
        <w:color w:val="000000"/>
        <w:sz w:val="16"/>
        <w:szCs w:val="16"/>
      </w:rPr>
      <w:fldChar w:fldCharType="separate"/>
    </w:r>
    <w:r>
      <w:rPr>
        <w:rFonts w:cs="Calibri Light"/>
        <w:noProof/>
        <w:color w:val="000000"/>
        <w:sz w:val="16"/>
        <w:szCs w:val="16"/>
      </w:rPr>
      <w:t>2</w:t>
    </w:r>
    <w:r>
      <w:rPr>
        <w:rFonts w:cs="Calibri Light"/>
        <w:noProof/>
        <w:color w:val="000000"/>
        <w:sz w:val="16"/>
        <w:szCs w:val="16"/>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7327405"/>
      <w:docPartObj>
        <w:docPartGallery w:val="Page Numbers (Bottom of Page)"/>
        <w:docPartUnique/>
      </w:docPartObj>
    </w:sdtPr>
    <w:sdtEndPr>
      <w:rPr>
        <w:noProof/>
      </w:rPr>
    </w:sdtEndPr>
    <w:sdtContent>
      <w:p>
        <w:pPr>
          <w:pStyle w:val="Footer"/>
          <w:jc w:val="right"/>
        </w:pPr>
        <w:r>
          <w:t xml:space="preserve"> </w:t>
        </w:r>
        <w:r>
          <w:fldChar w:fldCharType="begin"/>
        </w:r>
        <w:r>
          <w:instrText xml:space="preserve"> PAGE   \* MERGEFORMAT </w:instrText>
        </w:r>
        <w:r>
          <w:fldChar w:fldCharType="separate"/>
        </w:r>
        <w:r>
          <w:rPr>
            <w:noProof/>
          </w:rPr>
          <w:t>57</w:t>
        </w:r>
        <w:r>
          <w:rPr>
            <w:noProof/>
          </w:rPr>
          <w:fldChar w:fldCharType="end"/>
        </w:r>
      </w:p>
    </w:sdtContent>
  </w:sdt>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9796C"/>
    <w:multiLevelType w:val="hybridMultilevel"/>
    <w:tmpl w:val="D5B40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67BC7"/>
    <w:multiLevelType w:val="multilevel"/>
    <w:tmpl w:val="7F86BED8"/>
    <w:lvl w:ilvl="0">
      <w:start w:val="1"/>
      <w:numFmt w:val="bullet"/>
      <w:lvlText w:val="●"/>
      <w:lvlJc w:val="left"/>
      <w:pPr>
        <w:ind w:left="720" w:hanging="360"/>
      </w:pPr>
      <w:rPr>
        <w:u w:val="none"/>
      </w:rPr>
    </w:lvl>
    <w:lvl w:ilvl="1">
      <w:start w:val="1"/>
      <w:numFmt w:val="bullet"/>
      <w:lvlText w:val=""/>
      <w:lvlJc w:val="left"/>
      <w:pPr>
        <w:ind w:left="1440" w:hanging="360"/>
      </w:pPr>
      <w:rPr>
        <w:rFonts w:ascii="Wingdings" w:hAnsi="Wingdings"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D41A67"/>
    <w:multiLevelType w:val="multilevel"/>
    <w:tmpl w:val="2F5888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EE4365"/>
    <w:multiLevelType w:val="hybridMultilevel"/>
    <w:tmpl w:val="7E54F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DC48DC"/>
    <w:multiLevelType w:val="multilevel"/>
    <w:tmpl w:val="A6ACBB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B1E24D6"/>
    <w:multiLevelType w:val="multilevel"/>
    <w:tmpl w:val="BE6261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BD80F3E"/>
    <w:multiLevelType w:val="multilevel"/>
    <w:tmpl w:val="6C2E77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BFA28C0"/>
    <w:multiLevelType w:val="hybridMultilevel"/>
    <w:tmpl w:val="25523684"/>
    <w:lvl w:ilvl="0" w:tplc="08090001">
      <w:start w:val="1"/>
      <w:numFmt w:val="bullet"/>
      <w:lvlText w:val=""/>
      <w:lvlJc w:val="left"/>
      <w:pPr>
        <w:ind w:left="720" w:hanging="360"/>
      </w:pPr>
      <w:rPr>
        <w:rFonts w:ascii="Symbol" w:hAnsi="Symbol" w:hint="default"/>
      </w:rPr>
    </w:lvl>
    <w:lvl w:ilvl="1" w:tplc="CD1E999A">
      <w:start w:val="175"/>
      <w:numFmt w:val="bullet"/>
      <w:lvlText w:val="•"/>
      <w:lvlJc w:val="left"/>
      <w:pPr>
        <w:ind w:left="1800" w:hanging="720"/>
      </w:pPr>
      <w:rPr>
        <w:rFonts w:ascii="Calibri" w:eastAsia="Calibr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4276F7"/>
    <w:multiLevelType w:val="multilevel"/>
    <w:tmpl w:val="67DCE3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0886119"/>
    <w:multiLevelType w:val="multilevel"/>
    <w:tmpl w:val="733659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127329A"/>
    <w:multiLevelType w:val="multilevel"/>
    <w:tmpl w:val="EFCAD9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2BE2603"/>
    <w:multiLevelType w:val="hybridMultilevel"/>
    <w:tmpl w:val="EB26D670"/>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C77F87"/>
    <w:multiLevelType w:val="hybridMultilevel"/>
    <w:tmpl w:val="634AA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5A079B"/>
    <w:multiLevelType w:val="hybridMultilevel"/>
    <w:tmpl w:val="06786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0443F2"/>
    <w:multiLevelType w:val="hybridMultilevel"/>
    <w:tmpl w:val="B686D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446CC3"/>
    <w:multiLevelType w:val="hybridMultilevel"/>
    <w:tmpl w:val="0A54B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8104DDA"/>
    <w:multiLevelType w:val="multilevel"/>
    <w:tmpl w:val="EBDC1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8F40E73"/>
    <w:multiLevelType w:val="hybridMultilevel"/>
    <w:tmpl w:val="F7B805B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98960EE"/>
    <w:multiLevelType w:val="hybridMultilevel"/>
    <w:tmpl w:val="C7DAA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B2332B3"/>
    <w:multiLevelType w:val="multilevel"/>
    <w:tmpl w:val="6C2E77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1FAB1B43"/>
    <w:multiLevelType w:val="multilevel"/>
    <w:tmpl w:val="3CC84F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1FFF3107"/>
    <w:multiLevelType w:val="hybridMultilevel"/>
    <w:tmpl w:val="3B5A7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2" w15:restartNumberingAfterBreak="0">
    <w:nsid w:val="230E0483"/>
    <w:multiLevelType w:val="hybridMultilevel"/>
    <w:tmpl w:val="9DB84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4A0EC4"/>
    <w:multiLevelType w:val="multilevel"/>
    <w:tmpl w:val="5678D0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4587A02"/>
    <w:multiLevelType w:val="multilevel"/>
    <w:tmpl w:val="FEAA4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4A057CE"/>
    <w:multiLevelType w:val="multilevel"/>
    <w:tmpl w:val="8ACAD5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56C64D4"/>
    <w:multiLevelType w:val="multilevel"/>
    <w:tmpl w:val="D21E73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27356231"/>
    <w:multiLevelType w:val="multilevel"/>
    <w:tmpl w:val="9662D5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28946569"/>
    <w:multiLevelType w:val="multilevel"/>
    <w:tmpl w:val="5BB23C4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 w15:restartNumberingAfterBreak="0">
    <w:nsid w:val="297F2160"/>
    <w:multiLevelType w:val="multilevel"/>
    <w:tmpl w:val="117C1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29E15B95"/>
    <w:multiLevelType w:val="hybridMultilevel"/>
    <w:tmpl w:val="3620F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A3A1FD8"/>
    <w:multiLevelType w:val="hybridMultilevel"/>
    <w:tmpl w:val="5748F30E"/>
    <w:lvl w:ilvl="0" w:tplc="0809000B">
      <w:start w:val="1"/>
      <w:numFmt w:val="bullet"/>
      <w:lvlText w:val=""/>
      <w:lvlJc w:val="left"/>
      <w:pPr>
        <w:ind w:left="1440" w:hanging="360"/>
      </w:pPr>
      <w:rPr>
        <w:rFonts w:ascii="Wingdings" w:hAnsi="Wingdings" w:hint="default"/>
      </w:rPr>
    </w:lvl>
    <w:lvl w:ilvl="1" w:tplc="F6F6071A">
      <w:start w:val="175"/>
      <w:numFmt w:val="bullet"/>
      <w:lvlText w:val="•"/>
      <w:lvlJc w:val="left"/>
      <w:pPr>
        <w:ind w:left="2160" w:hanging="360"/>
      </w:pPr>
      <w:rPr>
        <w:rFonts w:ascii="Calibri" w:eastAsia="Calibri" w:hAnsi="Calibri" w:cs="Calibri"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2A5C57FF"/>
    <w:multiLevelType w:val="multilevel"/>
    <w:tmpl w:val="7F86BED8"/>
    <w:lvl w:ilvl="0">
      <w:start w:val="1"/>
      <w:numFmt w:val="bullet"/>
      <w:lvlText w:val="●"/>
      <w:lvlJc w:val="left"/>
      <w:pPr>
        <w:ind w:left="720" w:hanging="360"/>
      </w:pPr>
      <w:rPr>
        <w:u w:val="none"/>
      </w:rPr>
    </w:lvl>
    <w:lvl w:ilvl="1">
      <w:start w:val="1"/>
      <w:numFmt w:val="bullet"/>
      <w:lvlText w:val=""/>
      <w:lvlJc w:val="left"/>
      <w:pPr>
        <w:ind w:left="1440" w:hanging="360"/>
      </w:pPr>
      <w:rPr>
        <w:rFonts w:ascii="Wingdings" w:hAnsi="Wingdings"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2B290AEA"/>
    <w:multiLevelType w:val="multilevel"/>
    <w:tmpl w:val="B8288D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2BE247FC"/>
    <w:multiLevelType w:val="multilevel"/>
    <w:tmpl w:val="A5DC7A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2BEE1349"/>
    <w:multiLevelType w:val="multilevel"/>
    <w:tmpl w:val="3138BA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15:restartNumberingAfterBreak="0">
    <w:nsid w:val="2C324805"/>
    <w:multiLevelType w:val="hybridMultilevel"/>
    <w:tmpl w:val="3A9E0A14"/>
    <w:lvl w:ilvl="0" w:tplc="08090001">
      <w:start w:val="1"/>
      <w:numFmt w:val="bullet"/>
      <w:lvlText w:val=""/>
      <w:lvlJc w:val="left"/>
      <w:pPr>
        <w:ind w:left="720" w:hanging="360"/>
      </w:pPr>
      <w:rPr>
        <w:rFonts w:ascii="Symbol" w:hAnsi="Symbol" w:hint="default"/>
      </w:rPr>
    </w:lvl>
    <w:lvl w:ilvl="1" w:tplc="EC120492">
      <w:start w:val="175"/>
      <w:numFmt w:val="bullet"/>
      <w:lvlText w:val="·"/>
      <w:lvlJc w:val="left"/>
      <w:pPr>
        <w:ind w:left="1584" w:hanging="504"/>
      </w:pPr>
      <w:rPr>
        <w:rFonts w:ascii="Calibri" w:eastAsia="Calibr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CE87EA9"/>
    <w:multiLevelType w:val="multilevel"/>
    <w:tmpl w:val="EBDC1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0737980"/>
    <w:multiLevelType w:val="hybridMultilevel"/>
    <w:tmpl w:val="FF68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12C1E26"/>
    <w:multiLevelType w:val="hybridMultilevel"/>
    <w:tmpl w:val="BF6E7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2522CD8"/>
    <w:multiLevelType w:val="multilevel"/>
    <w:tmpl w:val="31724B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36FB0AAC"/>
    <w:multiLevelType w:val="multilevel"/>
    <w:tmpl w:val="1C08C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38525F94"/>
    <w:multiLevelType w:val="hybridMultilevel"/>
    <w:tmpl w:val="F4F2A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89A39BC"/>
    <w:multiLevelType w:val="hybridMultilevel"/>
    <w:tmpl w:val="46B4B2F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3A3C3F63"/>
    <w:multiLevelType w:val="multilevel"/>
    <w:tmpl w:val="00EA60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3A9C30FD"/>
    <w:multiLevelType w:val="multilevel"/>
    <w:tmpl w:val="15E2D8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3DAE7EA8"/>
    <w:multiLevelType w:val="hybridMultilevel"/>
    <w:tmpl w:val="92FA2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E881BF0"/>
    <w:multiLevelType w:val="multilevel"/>
    <w:tmpl w:val="1AB28B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3F992273"/>
    <w:multiLevelType w:val="hybridMultilevel"/>
    <w:tmpl w:val="89FCE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FEB49C0"/>
    <w:multiLevelType w:val="multilevel"/>
    <w:tmpl w:val="3732FB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40BE05D9"/>
    <w:multiLevelType w:val="multilevel"/>
    <w:tmpl w:val="E0361FA8"/>
    <w:lvl w:ilvl="0">
      <w:start w:val="1"/>
      <w:numFmt w:val="bullet"/>
      <w:lvlText w:val="●"/>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42B847DF"/>
    <w:multiLevelType w:val="multilevel"/>
    <w:tmpl w:val="19D2F6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42EC27A0"/>
    <w:multiLevelType w:val="hybridMultilevel"/>
    <w:tmpl w:val="A342A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46B0E3B"/>
    <w:multiLevelType w:val="multilevel"/>
    <w:tmpl w:val="33861A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448B4323"/>
    <w:multiLevelType w:val="hybridMultilevel"/>
    <w:tmpl w:val="A30C7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59B1EB0"/>
    <w:multiLevelType w:val="hybridMultilevel"/>
    <w:tmpl w:val="F864D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67657C2"/>
    <w:multiLevelType w:val="hybridMultilevel"/>
    <w:tmpl w:val="000AD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6CB2C2C"/>
    <w:multiLevelType w:val="hybridMultilevel"/>
    <w:tmpl w:val="9E96560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8" w15:restartNumberingAfterBreak="0">
    <w:nsid w:val="488D0C51"/>
    <w:multiLevelType w:val="multilevel"/>
    <w:tmpl w:val="6CAC89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48BA557A"/>
    <w:multiLevelType w:val="hybridMultilevel"/>
    <w:tmpl w:val="EA427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8E65971"/>
    <w:multiLevelType w:val="hybridMultilevel"/>
    <w:tmpl w:val="30905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9C72737"/>
    <w:multiLevelType w:val="multilevel"/>
    <w:tmpl w:val="53EE24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4B5E2070"/>
    <w:multiLevelType w:val="multilevel"/>
    <w:tmpl w:val="333E1F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3" w15:restartNumberingAfterBreak="0">
    <w:nsid w:val="4C8A11FB"/>
    <w:multiLevelType w:val="multilevel"/>
    <w:tmpl w:val="F1C223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502D0E46"/>
    <w:multiLevelType w:val="hybridMultilevel"/>
    <w:tmpl w:val="907C4F7A"/>
    <w:lvl w:ilvl="0" w:tplc="65B447AE">
      <w:start w:val="1"/>
      <w:numFmt w:val="decimal"/>
      <w:lvlText w:val="%1."/>
      <w:lvlJc w:val="left"/>
      <w:pPr>
        <w:ind w:left="360" w:hanging="360"/>
      </w:pPr>
      <w:rPr>
        <w:rFonts w:hint="default"/>
        <w:sz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51A85A99"/>
    <w:multiLevelType w:val="multilevel"/>
    <w:tmpl w:val="D26870A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6" w15:restartNumberingAfterBreak="0">
    <w:nsid w:val="51D36195"/>
    <w:multiLevelType w:val="multilevel"/>
    <w:tmpl w:val="9F4257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7" w15:restartNumberingAfterBreak="0">
    <w:nsid w:val="546162B7"/>
    <w:multiLevelType w:val="hybridMultilevel"/>
    <w:tmpl w:val="7F289E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8" w15:restartNumberingAfterBreak="0">
    <w:nsid w:val="54BF780E"/>
    <w:multiLevelType w:val="hybridMultilevel"/>
    <w:tmpl w:val="1B247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6011C4D"/>
    <w:multiLevelType w:val="multilevel"/>
    <w:tmpl w:val="F29C159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0" w15:restartNumberingAfterBreak="0">
    <w:nsid w:val="56596AEA"/>
    <w:multiLevelType w:val="multilevel"/>
    <w:tmpl w:val="D910F7D0"/>
    <w:lvl w:ilvl="0">
      <w:start w:val="1"/>
      <w:numFmt w:val="bullet"/>
      <w:lvlText w:val=""/>
      <w:lvlJc w:val="left"/>
      <w:pPr>
        <w:ind w:left="1440" w:hanging="360"/>
      </w:pPr>
      <w:rPr>
        <w:rFonts w:ascii="Wingdings" w:hAnsi="Wingdings"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1" w15:restartNumberingAfterBreak="0">
    <w:nsid w:val="57663842"/>
    <w:multiLevelType w:val="hybridMultilevel"/>
    <w:tmpl w:val="D5081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84E67A1"/>
    <w:multiLevelType w:val="hybridMultilevel"/>
    <w:tmpl w:val="9BDCF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9D46766"/>
    <w:multiLevelType w:val="multilevel"/>
    <w:tmpl w:val="FEEC7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5B156B70"/>
    <w:multiLevelType w:val="multilevel"/>
    <w:tmpl w:val="2B38863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5B1A2F12"/>
    <w:multiLevelType w:val="multilevel"/>
    <w:tmpl w:val="E850E59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6" w15:restartNumberingAfterBreak="0">
    <w:nsid w:val="5CF03652"/>
    <w:multiLevelType w:val="multilevel"/>
    <w:tmpl w:val="60307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5DCE04F4"/>
    <w:multiLevelType w:val="multilevel"/>
    <w:tmpl w:val="31724B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60206ADA"/>
    <w:multiLevelType w:val="multilevel"/>
    <w:tmpl w:val="FF2AB8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613871AF"/>
    <w:multiLevelType w:val="hybridMultilevel"/>
    <w:tmpl w:val="07FC8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1960255"/>
    <w:multiLevelType w:val="multilevel"/>
    <w:tmpl w:val="4BBCF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61DB52A8"/>
    <w:multiLevelType w:val="hybridMultilevel"/>
    <w:tmpl w:val="6F5E0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37A7E51"/>
    <w:multiLevelType w:val="hybridMultilevel"/>
    <w:tmpl w:val="87960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4752215"/>
    <w:multiLevelType w:val="hybridMultilevel"/>
    <w:tmpl w:val="6E122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4DF0497"/>
    <w:multiLevelType w:val="hybridMultilevel"/>
    <w:tmpl w:val="792C2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5C87F94"/>
    <w:multiLevelType w:val="hybridMultilevel"/>
    <w:tmpl w:val="65AA9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9E24011"/>
    <w:multiLevelType w:val="multilevel"/>
    <w:tmpl w:val="367487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6B975AAD"/>
    <w:multiLevelType w:val="hybridMultilevel"/>
    <w:tmpl w:val="DC58C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E7B3535"/>
    <w:multiLevelType w:val="multilevel"/>
    <w:tmpl w:val="D83621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6E8E1AF5"/>
    <w:multiLevelType w:val="hybridMultilevel"/>
    <w:tmpl w:val="A8427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FD766C3"/>
    <w:multiLevelType w:val="hybridMultilevel"/>
    <w:tmpl w:val="0444E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0AD6C6F"/>
    <w:multiLevelType w:val="hybridMultilevel"/>
    <w:tmpl w:val="5BC4E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3BE2136"/>
    <w:multiLevelType w:val="multilevel"/>
    <w:tmpl w:val="A642AC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75B20372"/>
    <w:multiLevelType w:val="multilevel"/>
    <w:tmpl w:val="8CDA0230"/>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rFonts w:ascii="Wingdings" w:hAnsi="Wingdings"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75F32F2C"/>
    <w:multiLevelType w:val="multilevel"/>
    <w:tmpl w:val="E2B008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5" w15:restartNumberingAfterBreak="0">
    <w:nsid w:val="77054E86"/>
    <w:multiLevelType w:val="multilevel"/>
    <w:tmpl w:val="852C8B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6" w15:restartNumberingAfterBreak="0">
    <w:nsid w:val="78D019F7"/>
    <w:multiLevelType w:val="multilevel"/>
    <w:tmpl w:val="A9161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7995256A"/>
    <w:multiLevelType w:val="multilevel"/>
    <w:tmpl w:val="25DE36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79AC140F"/>
    <w:multiLevelType w:val="hybridMultilevel"/>
    <w:tmpl w:val="50C2A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AC80AEF"/>
    <w:multiLevelType w:val="hybridMultilevel"/>
    <w:tmpl w:val="2AF45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B4A0853"/>
    <w:multiLevelType w:val="multilevel"/>
    <w:tmpl w:val="7F86BED8"/>
    <w:lvl w:ilvl="0">
      <w:start w:val="1"/>
      <w:numFmt w:val="bullet"/>
      <w:lvlText w:val="●"/>
      <w:lvlJc w:val="left"/>
      <w:pPr>
        <w:ind w:left="720" w:hanging="360"/>
      </w:pPr>
      <w:rPr>
        <w:u w:val="none"/>
      </w:rPr>
    </w:lvl>
    <w:lvl w:ilvl="1">
      <w:start w:val="1"/>
      <w:numFmt w:val="bullet"/>
      <w:lvlText w:val=""/>
      <w:lvlJc w:val="left"/>
      <w:pPr>
        <w:ind w:left="1440" w:hanging="360"/>
      </w:pPr>
      <w:rPr>
        <w:rFonts w:ascii="Wingdings" w:hAnsi="Wingdings"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7C3436B1"/>
    <w:multiLevelType w:val="hybridMultilevel"/>
    <w:tmpl w:val="6F3022B6"/>
    <w:lvl w:ilvl="0" w:tplc="CAEC4938">
      <w:start w:val="1"/>
      <w:numFmt w:val="bullet"/>
      <w:lvlText w:val=""/>
      <w:lvlJc w:val="left"/>
      <w:pPr>
        <w:ind w:left="596" w:hanging="170"/>
      </w:pPr>
      <w:rPr>
        <w:rFonts w:ascii="Symbol" w:hAnsi="Symbol" w:hint="default"/>
        <w:color w:val="auto"/>
        <w:sz w:val="20"/>
        <w:szCs w:val="10"/>
      </w:rPr>
    </w:lvl>
    <w:lvl w:ilvl="1" w:tplc="08090003">
      <w:start w:val="1"/>
      <w:numFmt w:val="bullet"/>
      <w:lvlText w:val="o"/>
      <w:lvlJc w:val="left"/>
      <w:pPr>
        <w:ind w:left="-430" w:hanging="360"/>
      </w:pPr>
      <w:rPr>
        <w:rFonts w:ascii="Courier New" w:hAnsi="Courier New" w:cs="Courier New" w:hint="default"/>
      </w:rPr>
    </w:lvl>
    <w:lvl w:ilvl="2" w:tplc="08090005">
      <w:start w:val="1"/>
      <w:numFmt w:val="bullet"/>
      <w:lvlText w:val=""/>
      <w:lvlJc w:val="left"/>
      <w:pPr>
        <w:ind w:left="290" w:hanging="360"/>
      </w:pPr>
      <w:rPr>
        <w:rFonts w:ascii="Wingdings" w:hAnsi="Wingdings" w:hint="default"/>
      </w:rPr>
    </w:lvl>
    <w:lvl w:ilvl="3" w:tplc="08090001">
      <w:start w:val="1"/>
      <w:numFmt w:val="bullet"/>
      <w:lvlText w:val=""/>
      <w:lvlJc w:val="left"/>
      <w:pPr>
        <w:ind w:left="1010" w:hanging="360"/>
      </w:pPr>
      <w:rPr>
        <w:rFonts w:ascii="Symbol" w:hAnsi="Symbol" w:hint="default"/>
      </w:rPr>
    </w:lvl>
    <w:lvl w:ilvl="4" w:tplc="08090003" w:tentative="1">
      <w:start w:val="1"/>
      <w:numFmt w:val="bullet"/>
      <w:lvlText w:val="o"/>
      <w:lvlJc w:val="left"/>
      <w:pPr>
        <w:ind w:left="1730" w:hanging="360"/>
      </w:pPr>
      <w:rPr>
        <w:rFonts w:ascii="Courier New" w:hAnsi="Courier New" w:cs="Courier New" w:hint="default"/>
      </w:rPr>
    </w:lvl>
    <w:lvl w:ilvl="5" w:tplc="08090005" w:tentative="1">
      <w:start w:val="1"/>
      <w:numFmt w:val="bullet"/>
      <w:lvlText w:val=""/>
      <w:lvlJc w:val="left"/>
      <w:pPr>
        <w:ind w:left="2450" w:hanging="360"/>
      </w:pPr>
      <w:rPr>
        <w:rFonts w:ascii="Wingdings" w:hAnsi="Wingdings" w:hint="default"/>
      </w:rPr>
    </w:lvl>
    <w:lvl w:ilvl="6" w:tplc="08090001" w:tentative="1">
      <w:start w:val="1"/>
      <w:numFmt w:val="bullet"/>
      <w:lvlText w:val=""/>
      <w:lvlJc w:val="left"/>
      <w:pPr>
        <w:ind w:left="3170" w:hanging="360"/>
      </w:pPr>
      <w:rPr>
        <w:rFonts w:ascii="Symbol" w:hAnsi="Symbol" w:hint="default"/>
      </w:rPr>
    </w:lvl>
    <w:lvl w:ilvl="7" w:tplc="08090003" w:tentative="1">
      <w:start w:val="1"/>
      <w:numFmt w:val="bullet"/>
      <w:lvlText w:val="o"/>
      <w:lvlJc w:val="left"/>
      <w:pPr>
        <w:ind w:left="3890" w:hanging="360"/>
      </w:pPr>
      <w:rPr>
        <w:rFonts w:ascii="Courier New" w:hAnsi="Courier New" w:cs="Courier New" w:hint="default"/>
      </w:rPr>
    </w:lvl>
    <w:lvl w:ilvl="8" w:tplc="08090005" w:tentative="1">
      <w:start w:val="1"/>
      <w:numFmt w:val="bullet"/>
      <w:lvlText w:val=""/>
      <w:lvlJc w:val="left"/>
      <w:pPr>
        <w:ind w:left="4610" w:hanging="360"/>
      </w:pPr>
      <w:rPr>
        <w:rFonts w:ascii="Wingdings" w:hAnsi="Wingdings" w:hint="default"/>
      </w:rPr>
    </w:lvl>
  </w:abstractNum>
  <w:abstractNum w:abstractNumId="102" w15:restartNumberingAfterBreak="0">
    <w:nsid w:val="7CAB7AED"/>
    <w:multiLevelType w:val="multilevel"/>
    <w:tmpl w:val="4A4243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7DE16583"/>
    <w:multiLevelType w:val="hybridMultilevel"/>
    <w:tmpl w:val="1C9A905A"/>
    <w:lvl w:ilvl="0" w:tplc="92901B5C">
      <w:start w:val="2"/>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F3322C6"/>
    <w:multiLevelType w:val="hybridMultilevel"/>
    <w:tmpl w:val="A15CEC86"/>
    <w:lvl w:ilvl="0" w:tplc="0809000B">
      <w:start w:val="1"/>
      <w:numFmt w:val="bullet"/>
      <w:lvlText w:val=""/>
      <w:lvlJc w:val="left"/>
      <w:pPr>
        <w:ind w:left="1495" w:hanging="360"/>
      </w:pPr>
      <w:rPr>
        <w:rFonts w:ascii="Wingdings" w:hAnsi="Wingdings"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num w:numId="1">
    <w:abstractNumId w:val="73"/>
  </w:num>
  <w:num w:numId="2">
    <w:abstractNumId w:val="86"/>
  </w:num>
  <w:num w:numId="3">
    <w:abstractNumId w:val="96"/>
  </w:num>
  <w:num w:numId="4">
    <w:abstractNumId w:val="75"/>
  </w:num>
  <w:num w:numId="5">
    <w:abstractNumId w:val="40"/>
  </w:num>
  <w:num w:numId="6">
    <w:abstractNumId w:val="24"/>
  </w:num>
  <w:num w:numId="7">
    <w:abstractNumId w:val="23"/>
  </w:num>
  <w:num w:numId="8">
    <w:abstractNumId w:val="53"/>
  </w:num>
  <w:num w:numId="9">
    <w:abstractNumId w:val="10"/>
  </w:num>
  <w:num w:numId="10">
    <w:abstractNumId w:val="2"/>
  </w:num>
  <w:num w:numId="11">
    <w:abstractNumId w:val="4"/>
  </w:num>
  <w:num w:numId="12">
    <w:abstractNumId w:val="28"/>
  </w:num>
  <w:num w:numId="13">
    <w:abstractNumId w:val="44"/>
  </w:num>
  <w:num w:numId="14">
    <w:abstractNumId w:val="61"/>
  </w:num>
  <w:num w:numId="15">
    <w:abstractNumId w:val="94"/>
  </w:num>
  <w:num w:numId="16">
    <w:abstractNumId w:val="65"/>
  </w:num>
  <w:num w:numId="17">
    <w:abstractNumId w:val="88"/>
  </w:num>
  <w:num w:numId="18">
    <w:abstractNumId w:val="29"/>
  </w:num>
  <w:num w:numId="19">
    <w:abstractNumId w:val="76"/>
  </w:num>
  <w:num w:numId="20">
    <w:abstractNumId w:val="33"/>
  </w:num>
  <w:num w:numId="21">
    <w:abstractNumId w:val="92"/>
  </w:num>
  <w:num w:numId="22">
    <w:abstractNumId w:val="27"/>
  </w:num>
  <w:num w:numId="23">
    <w:abstractNumId w:val="49"/>
  </w:num>
  <w:num w:numId="24">
    <w:abstractNumId w:val="35"/>
  </w:num>
  <w:num w:numId="25">
    <w:abstractNumId w:val="78"/>
  </w:num>
  <w:num w:numId="26">
    <w:abstractNumId w:val="97"/>
  </w:num>
  <w:num w:numId="27">
    <w:abstractNumId w:val="95"/>
  </w:num>
  <w:num w:numId="28">
    <w:abstractNumId w:val="50"/>
  </w:num>
  <w:num w:numId="29">
    <w:abstractNumId w:val="47"/>
  </w:num>
  <w:num w:numId="30">
    <w:abstractNumId w:val="34"/>
  </w:num>
  <w:num w:numId="31">
    <w:abstractNumId w:val="51"/>
  </w:num>
  <w:num w:numId="32">
    <w:abstractNumId w:val="63"/>
  </w:num>
  <w:num w:numId="33">
    <w:abstractNumId w:val="20"/>
  </w:num>
  <w:num w:numId="34">
    <w:abstractNumId w:val="19"/>
  </w:num>
  <w:num w:numId="35">
    <w:abstractNumId w:val="69"/>
  </w:num>
  <w:num w:numId="36">
    <w:abstractNumId w:val="45"/>
  </w:num>
  <w:num w:numId="37">
    <w:abstractNumId w:val="8"/>
  </w:num>
  <w:num w:numId="38">
    <w:abstractNumId w:val="5"/>
  </w:num>
  <w:num w:numId="39">
    <w:abstractNumId w:val="9"/>
  </w:num>
  <w:num w:numId="40">
    <w:abstractNumId w:val="66"/>
  </w:num>
  <w:num w:numId="41">
    <w:abstractNumId w:val="62"/>
  </w:num>
  <w:num w:numId="42">
    <w:abstractNumId w:val="58"/>
  </w:num>
  <w:num w:numId="43">
    <w:abstractNumId w:val="102"/>
  </w:num>
  <w:num w:numId="44">
    <w:abstractNumId w:val="93"/>
  </w:num>
  <w:num w:numId="45">
    <w:abstractNumId w:val="25"/>
  </w:num>
  <w:num w:numId="46">
    <w:abstractNumId w:val="74"/>
  </w:num>
  <w:num w:numId="47">
    <w:abstractNumId w:val="80"/>
  </w:num>
  <w:num w:numId="48">
    <w:abstractNumId w:val="41"/>
  </w:num>
  <w:num w:numId="49">
    <w:abstractNumId w:val="26"/>
  </w:num>
  <w:num w:numId="50">
    <w:abstractNumId w:val="100"/>
  </w:num>
  <w:num w:numId="51">
    <w:abstractNumId w:val="7"/>
  </w:num>
  <w:num w:numId="52">
    <w:abstractNumId w:val="32"/>
  </w:num>
  <w:num w:numId="53">
    <w:abstractNumId w:val="1"/>
  </w:num>
  <w:num w:numId="54">
    <w:abstractNumId w:val="16"/>
  </w:num>
  <w:num w:numId="55">
    <w:abstractNumId w:val="37"/>
  </w:num>
  <w:num w:numId="56">
    <w:abstractNumId w:val="70"/>
  </w:num>
  <w:num w:numId="57">
    <w:abstractNumId w:val="104"/>
  </w:num>
  <w:num w:numId="58">
    <w:abstractNumId w:val="43"/>
  </w:num>
  <w:num w:numId="59">
    <w:abstractNumId w:val="91"/>
  </w:num>
  <w:num w:numId="60">
    <w:abstractNumId w:val="67"/>
  </w:num>
  <w:num w:numId="61">
    <w:abstractNumId w:val="31"/>
  </w:num>
  <w:num w:numId="62">
    <w:abstractNumId w:val="38"/>
  </w:num>
  <w:num w:numId="63">
    <w:abstractNumId w:val="68"/>
  </w:num>
  <w:num w:numId="64">
    <w:abstractNumId w:val="79"/>
  </w:num>
  <w:num w:numId="65">
    <w:abstractNumId w:val="64"/>
  </w:num>
  <w:num w:numId="66">
    <w:abstractNumId w:val="36"/>
  </w:num>
  <w:num w:numId="67">
    <w:abstractNumId w:val="18"/>
  </w:num>
  <w:num w:numId="68">
    <w:abstractNumId w:val="48"/>
  </w:num>
  <w:num w:numId="69">
    <w:abstractNumId w:val="101"/>
  </w:num>
  <w:num w:numId="70">
    <w:abstractNumId w:val="103"/>
  </w:num>
  <w:num w:numId="71">
    <w:abstractNumId w:val="0"/>
  </w:num>
  <w:num w:numId="72">
    <w:abstractNumId w:val="60"/>
  </w:num>
  <w:num w:numId="73">
    <w:abstractNumId w:val="99"/>
  </w:num>
  <w:num w:numId="74">
    <w:abstractNumId w:val="46"/>
  </w:num>
  <w:num w:numId="75">
    <w:abstractNumId w:val="57"/>
  </w:num>
  <w:num w:numId="76">
    <w:abstractNumId w:val="82"/>
  </w:num>
  <w:num w:numId="77">
    <w:abstractNumId w:val="15"/>
  </w:num>
  <w:num w:numId="78">
    <w:abstractNumId w:val="13"/>
  </w:num>
  <w:num w:numId="79">
    <w:abstractNumId w:val="83"/>
  </w:num>
  <w:num w:numId="80">
    <w:abstractNumId w:val="71"/>
  </w:num>
  <w:num w:numId="81">
    <w:abstractNumId w:val="56"/>
  </w:num>
  <w:num w:numId="82">
    <w:abstractNumId w:val="59"/>
  </w:num>
  <w:num w:numId="83">
    <w:abstractNumId w:val="39"/>
  </w:num>
  <w:num w:numId="84">
    <w:abstractNumId w:val="84"/>
  </w:num>
  <w:num w:numId="85">
    <w:abstractNumId w:val="87"/>
  </w:num>
  <w:num w:numId="86">
    <w:abstractNumId w:val="81"/>
  </w:num>
  <w:num w:numId="87">
    <w:abstractNumId w:val="54"/>
  </w:num>
  <w:num w:numId="88">
    <w:abstractNumId w:val="30"/>
  </w:num>
  <w:num w:numId="89">
    <w:abstractNumId w:val="72"/>
  </w:num>
  <w:num w:numId="90">
    <w:abstractNumId w:val="14"/>
  </w:num>
  <w:num w:numId="91">
    <w:abstractNumId w:val="42"/>
  </w:num>
  <w:num w:numId="92">
    <w:abstractNumId w:val="98"/>
  </w:num>
  <w:num w:numId="93">
    <w:abstractNumId w:val="85"/>
  </w:num>
  <w:num w:numId="94">
    <w:abstractNumId w:val="89"/>
  </w:num>
  <w:num w:numId="95">
    <w:abstractNumId w:val="12"/>
  </w:num>
  <w:num w:numId="96">
    <w:abstractNumId w:val="3"/>
  </w:num>
  <w:num w:numId="97">
    <w:abstractNumId w:val="52"/>
  </w:num>
  <w:num w:numId="98">
    <w:abstractNumId w:val="77"/>
  </w:num>
  <w:num w:numId="99">
    <w:abstractNumId w:val="6"/>
  </w:num>
  <w:num w:numId="100">
    <w:abstractNumId w:val="55"/>
  </w:num>
  <w:num w:numId="101">
    <w:abstractNumId w:val="11"/>
  </w:num>
  <w:num w:numId="102">
    <w:abstractNumId w:val="17"/>
  </w:num>
  <w:num w:numId="103">
    <w:abstractNumId w:val="21"/>
  </w:num>
  <w:num w:numId="104">
    <w:abstractNumId w:val="22"/>
  </w:num>
  <w:num w:numId="105">
    <w:abstractNumId w:val="90"/>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4C95F545-EA89-4F7A-8B9D-7B88D86C8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unhideWhenUsed/>
    <w:qFormat/>
    <w:pPr>
      <w:spacing w:before="240" w:after="0"/>
      <w:outlineLvl w:val="9"/>
    </w:pPr>
    <w:rPr>
      <w:rFonts w:asciiTheme="majorHAnsi" w:eastAsiaTheme="majorEastAsia" w:hAnsiTheme="majorHAnsi" w:cstheme="majorBidi"/>
      <w:b w:val="0"/>
      <w:color w:val="2F5496" w:themeColor="accent1" w:themeShade="BF"/>
      <w:sz w:val="32"/>
      <w:szCs w:val="32"/>
      <w:lang w:eastAsia="en-US"/>
    </w:rPr>
  </w:style>
  <w:style w:type="paragraph" w:styleId="TOC1">
    <w:name w:val="toc 1"/>
    <w:basedOn w:val="Normal"/>
    <w:next w:val="Normal"/>
    <w:autoRedefine/>
    <w:uiPriority w:val="39"/>
    <w:unhideWhenUsed/>
    <w:pPr>
      <w:tabs>
        <w:tab w:val="right" w:leader="dot" w:pos="9742"/>
      </w:tabs>
      <w:spacing w:after="100"/>
    </w:pPr>
  </w:style>
  <w:style w:type="paragraph" w:styleId="TOC3">
    <w:name w:val="toc 3"/>
    <w:basedOn w:val="Normal"/>
    <w:next w:val="Normal"/>
    <w:autoRedefine/>
    <w:uiPriority w:val="39"/>
    <w:unhideWhenUsed/>
    <w:pPr>
      <w:spacing w:after="100"/>
      <w:ind w:left="440"/>
    </w:pPr>
  </w:style>
  <w:style w:type="paragraph" w:styleId="TOC2">
    <w:name w:val="toc 2"/>
    <w:basedOn w:val="Normal"/>
    <w:next w:val="Normal"/>
    <w:autoRedefine/>
    <w:uiPriority w:val="39"/>
    <w:unhideWhenUsed/>
    <w:pPr>
      <w:spacing w:after="100"/>
      <w:ind w:left="220"/>
    </w:p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customStyle="1" w:styleId="1bodycopy10pt">
    <w:name w:val="1 body copy 10pt"/>
    <w:basedOn w:val="Normal"/>
    <w:link w:val="1bodycopy10ptChar"/>
    <w:qFormat/>
    <w:pPr>
      <w:spacing w:after="120" w:line="240" w:lineRule="auto"/>
    </w:pPr>
    <w:rPr>
      <w:rFonts w:ascii="Arial" w:eastAsia="MS Mincho" w:hAnsi="Arial" w:cs="Times New Roman"/>
      <w:sz w:val="20"/>
      <w:szCs w:val="24"/>
      <w:lang w:eastAsia="en-US"/>
    </w:rPr>
  </w:style>
  <w:style w:type="character" w:customStyle="1" w:styleId="1bodycopy10ptChar">
    <w:name w:val="1 body copy 10pt Char"/>
    <w:link w:val="1bodycopy10pt"/>
    <w:rPr>
      <w:rFonts w:ascii="Arial" w:eastAsia="MS Mincho" w:hAnsi="Arial" w:cs="Times New Roman"/>
      <w:sz w:val="20"/>
      <w:szCs w:val="24"/>
      <w:lang w:eastAsia="en-US"/>
    </w:rPr>
  </w:style>
  <w:style w:type="paragraph" w:customStyle="1" w:styleId="Subhead2">
    <w:name w:val="Subhead 2"/>
    <w:basedOn w:val="1bodycopy10pt"/>
    <w:next w:val="1bodycopy10pt"/>
    <w:link w:val="Subhead2Char"/>
    <w:qFormat/>
    <w:pPr>
      <w:spacing w:before="240"/>
    </w:pPr>
    <w:rPr>
      <w:b/>
      <w:color w:val="12263F"/>
      <w:sz w:val="24"/>
    </w:rPr>
  </w:style>
  <w:style w:type="character" w:customStyle="1" w:styleId="Subhead2Char">
    <w:name w:val="Subhead 2 Char"/>
    <w:link w:val="Subhead2"/>
    <w:rPr>
      <w:rFonts w:ascii="Arial" w:eastAsia="MS Mincho" w:hAnsi="Arial" w:cs="Times New Roman"/>
      <w:b/>
      <w:color w:val="12263F"/>
      <w:sz w:val="24"/>
      <w:szCs w:val="24"/>
      <w:lang w:eastAsia="en-US"/>
    </w:rPr>
  </w:style>
  <w:style w:type="table" w:styleId="TableGrid">
    <w:name w:val="Table Grid"/>
    <w:basedOn w:val="TableNormal"/>
    <w:uiPriority w:val="39"/>
    <w:pPr>
      <w:spacing w:after="0" w:line="240" w:lineRule="auto"/>
    </w:pPr>
    <w:rPr>
      <w:rFonts w:asciiTheme="minorHAnsi" w:eastAsiaTheme="minorHAnsi" w:hAnsiTheme="minorHAnsi" w:cstheme="minorBid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pPr>
      <w:spacing w:after="120" w:line="240" w:lineRule="auto"/>
    </w:pPr>
    <w:rPr>
      <w:rFonts w:ascii="Arial" w:eastAsia="MS Mincho" w:hAnsi="Arial" w:cs="Arial"/>
      <w:sz w:val="20"/>
      <w:szCs w:val="20"/>
      <w:lang w:eastAsia="en-US"/>
    </w:rPr>
  </w:style>
  <w:style w:type="paragraph" w:styleId="NoSpacing">
    <w:name w:val="No Spacing"/>
    <w:link w:val="NoSpacingChar"/>
    <w:uiPriority w:val="1"/>
    <w:qFormat/>
    <w:pPr>
      <w:spacing w:after="0" w:line="240" w:lineRule="auto"/>
    </w:pPr>
    <w:rPr>
      <w:rFonts w:asciiTheme="minorHAnsi" w:eastAsiaTheme="minorHAnsi" w:hAnsiTheme="minorHAnsi" w:cstheme="minorBidi"/>
      <w:lang w:val="en-GB" w:eastAsia="en-US"/>
    </w:rPr>
  </w:style>
  <w:style w:type="character" w:customStyle="1" w:styleId="NoSpacingChar">
    <w:name w:val="No Spacing Char"/>
    <w:basedOn w:val="DefaultParagraphFont"/>
    <w:link w:val="NoSpacing"/>
    <w:uiPriority w:val="1"/>
    <w:rPr>
      <w:rFonts w:asciiTheme="minorHAnsi" w:eastAsiaTheme="minorHAnsi" w:hAnsiTheme="minorHAnsi" w:cstheme="minorBidi"/>
      <w:lang w:val="en-GB" w:eastAsia="en-US"/>
    </w:rPr>
  </w:style>
  <w:style w:type="paragraph" w:customStyle="1" w:styleId="3Policytitle">
    <w:name w:val="3 Policy title"/>
    <w:basedOn w:val="Normal"/>
    <w:qFormat/>
    <w:pPr>
      <w:spacing w:after="120" w:line="240" w:lineRule="auto"/>
    </w:pPr>
    <w:rPr>
      <w:rFonts w:ascii="Arial" w:eastAsia="MS Mincho" w:hAnsi="Arial" w:cs="Times New Roman"/>
      <w:b/>
      <w:sz w:val="72"/>
      <w:szCs w:val="24"/>
      <w:lang w:eastAsia="en-U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FollowedHyperlink">
    <w:name w:val="FollowedHyperlink"/>
    <w:basedOn w:val="DefaultParagraphFont"/>
    <w:uiPriority w:val="99"/>
    <w:semiHidden/>
    <w:unhideWhenUsed/>
    <w:rPr>
      <w:color w:val="954F72" w:themeColor="followed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Strong">
    <w:name w:val="Strong"/>
    <w:basedOn w:val="DefaultParagraphFont"/>
    <w:uiPriority w:val="22"/>
    <w:qFormat/>
    <w:rPr>
      <w:b/>
      <w:bCs/>
    </w:rPr>
  </w:style>
  <w:style w:type="character" w:customStyle="1" w:styleId="il">
    <w:name w:val="il"/>
    <w:basedOn w:val="DefaultParagraphFont"/>
  </w:style>
  <w:style w:type="paragraph" w:customStyle="1" w:styleId="6Abstract">
    <w:name w:val="6 Abstract"/>
    <w:qFormat/>
    <w:pPr>
      <w:spacing w:after="240"/>
    </w:pPr>
    <w:rPr>
      <w:rFonts w:ascii="Arial" w:eastAsia="MS Mincho" w:hAnsi="Arial" w:cs="Times New Roman"/>
      <w:sz w:val="28"/>
      <w:szCs w:val="28"/>
      <w:lang w:eastAsia="en-US"/>
    </w:rPr>
  </w:style>
  <w:style w:type="paragraph" w:customStyle="1" w:styleId="1bodycopy11pt">
    <w:name w:val="1 body copy 11pt"/>
    <w:autoRedefine/>
    <w:pPr>
      <w:framePr w:hSpace="180" w:wrap="around" w:vAnchor="page" w:hAnchor="margin" w:x="-743" w:y="12359"/>
      <w:spacing w:after="120" w:line="240" w:lineRule="auto"/>
    </w:pPr>
    <w:rPr>
      <w:rFonts w:ascii="Arial" w:eastAsia="MS Mincho" w:hAnsi="Arial" w:cs="Arial"/>
      <w:szCs w:val="24"/>
      <w:lang w:eastAsia="en-US"/>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355797">
      <w:bodyDiv w:val="1"/>
      <w:marLeft w:val="0"/>
      <w:marRight w:val="0"/>
      <w:marTop w:val="0"/>
      <w:marBottom w:val="0"/>
      <w:divBdr>
        <w:top w:val="none" w:sz="0" w:space="0" w:color="auto"/>
        <w:left w:val="none" w:sz="0" w:space="0" w:color="auto"/>
        <w:bottom w:val="none" w:sz="0" w:space="0" w:color="auto"/>
        <w:right w:val="none" w:sz="0" w:space="0" w:color="auto"/>
      </w:divBdr>
    </w:div>
    <w:div w:id="297761147">
      <w:bodyDiv w:val="1"/>
      <w:marLeft w:val="0"/>
      <w:marRight w:val="0"/>
      <w:marTop w:val="0"/>
      <w:marBottom w:val="0"/>
      <w:divBdr>
        <w:top w:val="none" w:sz="0" w:space="0" w:color="auto"/>
        <w:left w:val="none" w:sz="0" w:space="0" w:color="auto"/>
        <w:bottom w:val="none" w:sz="0" w:space="0" w:color="auto"/>
        <w:right w:val="none" w:sz="0" w:space="0" w:color="auto"/>
      </w:divBdr>
    </w:div>
    <w:div w:id="1037315449">
      <w:bodyDiv w:val="1"/>
      <w:marLeft w:val="0"/>
      <w:marRight w:val="0"/>
      <w:marTop w:val="0"/>
      <w:marBottom w:val="0"/>
      <w:divBdr>
        <w:top w:val="none" w:sz="0" w:space="0" w:color="auto"/>
        <w:left w:val="none" w:sz="0" w:space="0" w:color="auto"/>
        <w:bottom w:val="none" w:sz="0" w:space="0" w:color="auto"/>
        <w:right w:val="none" w:sz="0" w:space="0" w:color="auto"/>
      </w:divBdr>
    </w:div>
    <w:div w:id="14498544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southampton.gov.uk/children-families/childrens-social-care/southampton-safeguarding-children-partnership/" TargetMode="External"/><Relationship Id="rId26" Type="http://schemas.openxmlformats.org/officeDocument/2006/relationships/hyperlink" Target="http://www.legislation.gov.uk/ukpga/2015/9/part/5/crossheading/female-genital-mutilation" TargetMode="External"/><Relationship Id="rId39" Type="http://schemas.openxmlformats.org/officeDocument/2006/relationships/hyperlink" Target="http://www.legislation.gov.uk/ukpga/2006/21/contents" TargetMode="External"/><Relationship Id="rId21" Type="http://schemas.openxmlformats.org/officeDocument/2006/relationships/hyperlink" Target="http://www.legislation.gov.uk/uksi/2009/2680/contents/made" TargetMode="External"/><Relationship Id="rId34" Type="http://schemas.openxmlformats.org/officeDocument/2006/relationships/hyperlink" Target="https://www.echr.coe.int/Pages/home.aspx?p=basictexts&amp;c" TargetMode="External"/><Relationship Id="rId42" Type="http://schemas.openxmlformats.org/officeDocument/2006/relationships/hyperlink" Target="https://www.gov.uk/government/publications/early-years-foundation-stage-framework--2" TargetMode="External"/><Relationship Id="rId47"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50" Type="http://schemas.openxmlformats.org/officeDocument/2006/relationships/hyperlink" Target="https://learning.nspcc.org.uk/research-resources/harmful-sexual-behaviour-hsb-framework-audit" TargetMode="External"/><Relationship Id="rId55" Type="http://schemas.openxmlformats.org/officeDocument/2006/relationships/hyperlink" Target="https://www.gov.uk/government/publications/new-definition-of-extremism-2024/new-definition-of-extremism-2024" TargetMode="External"/><Relationship Id="rId63" Type="http://schemas.openxmlformats.org/officeDocument/2006/relationships/hyperlink" Target="mailto:LADO@southampton.gov.uk" TargetMode="External"/><Relationship Id="rId68" Type="http://schemas.openxmlformats.org/officeDocument/2006/relationships/hyperlink" Target="https://www.childline.org.uk/info-advice/bullying-abuse-safety/crime-law/forced-marriage/" TargetMode="External"/><Relationship Id="rId76" Type="http://schemas.openxmlformats.org/officeDocument/2006/relationships/hyperlink" Target="https://www.gov.uk/government/publications/young-witness-booklet-for-12-to-17-year-olds" TargetMode="External"/><Relationship Id="rId84" Type="http://schemas.openxmlformats.org/officeDocument/2006/relationships/hyperlink" Target="mailto:LADO@southampton.gov.uk" TargetMode="External"/><Relationship Id="rId89"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www.familylives.org.uk/" TargetMode="External"/><Relationship Id="rId2" Type="http://schemas.openxmlformats.org/officeDocument/2006/relationships/customXml" Target="../customXml/item2.xml"/><Relationship Id="rId16" Type="http://schemas.openxmlformats.org/officeDocument/2006/relationships/hyperlink" Target="https://www.gov.uk/government/publications/governance-handbook" TargetMode="External"/><Relationship Id="rId29" Type="http://schemas.openxmlformats.org/officeDocument/2006/relationships/hyperlink" Target="http://www.legislation.gov.uk/ukpga/2006/47/schedule/4" TargetMode="External"/><Relationship Id="rId11" Type="http://schemas.openxmlformats.org/officeDocument/2006/relationships/footer" Target="footer2.xml"/><Relationship Id="rId24" Type="http://schemas.openxmlformats.org/officeDocument/2006/relationships/hyperlink" Target="http://www.legislation.gov.uk/ukpga/2004/31/contents" TargetMode="External"/><Relationship Id="rId32" Type="http://schemas.openxmlformats.org/officeDocument/2006/relationships/hyperlink" Target="https://www.legislation.gov.uk/ukpga/1998/42/contents" TargetMode="External"/><Relationship Id="rId37" Type="http://schemas.openxmlformats.org/officeDocument/2006/relationships/hyperlink" Target="https://www.legislation.gov.uk/uksi/2018/794/contents" TargetMode="External"/><Relationship Id="rId40" Type="http://schemas.openxmlformats.org/officeDocument/2006/relationships/hyperlink" Target="http://www.legislation.gov.uk/ukpga/2006/21/contents" TargetMode="External"/><Relationship Id="rId45" Type="http://schemas.openxmlformats.org/officeDocument/2006/relationships/hyperlink" Target="https://www.gov.uk/guidance/meeting-digital-and-technology-standards-in-schools-and-colleges/filtering-and-monitoring-standards-for-schools-and-colleges" TargetMode="External"/><Relationship Id="rId53" Type="http://schemas.openxmlformats.org/officeDocument/2006/relationships/hyperlink" Target="https://www.nspcc.org.uk/preventing-abuse/child-abuse-and-neglect/female-genital-mutilation-fgm" TargetMode="External"/><Relationship Id="rId58" Type="http://schemas.openxmlformats.org/officeDocument/2006/relationships/hyperlink" Target="https://www.gov.uk/government/publications/generative-ai-product-safety-expectations/generative-ai-product-safety-expectations" TargetMode="External"/><Relationship Id="rId66" Type="http://schemas.openxmlformats.org/officeDocument/2006/relationships/hyperlink" Target="http://www.hampshiresab.org.uk/wp-content/uploads/PAN-Hampshire-HBV-Multi-Agency-Guidance.pdf" TargetMode="External"/><Relationship Id="rId74" Type="http://schemas.openxmlformats.org/officeDocument/2006/relationships/hyperlink" Target="https://assets.publishing.service.gov.uk/government/uploads/system/uploads/attachment_data/file/295978/school_security_advice_181212__2__.pdf" TargetMode="External"/><Relationship Id="rId79" Type="http://schemas.openxmlformats.org/officeDocument/2006/relationships/hyperlink" Target="https://www.gov.uk/government/publications/criminal-records-checks-for-overseas-applicants" TargetMode="External"/><Relationship Id="rId87" Type="http://schemas.openxmlformats.org/officeDocument/2006/relationships/footer" Target="footer3.xml"/><Relationship Id="rId5" Type="http://schemas.openxmlformats.org/officeDocument/2006/relationships/settings" Target="settings.xml"/><Relationship Id="rId61" Type="http://schemas.openxmlformats.org/officeDocument/2006/relationships/hyperlink" Target="https://www.southampton.gov.uk/media/owofelhk/152-53-pathway-document-8.pdf" TargetMode="External"/><Relationship Id="rId82" Type="http://schemas.openxmlformats.org/officeDocument/2006/relationships/hyperlink" Target="http://www.legislation.gov.uk/uksi/2009/37/contents/made" TargetMode="External"/><Relationship Id="rId19" Type="http://schemas.openxmlformats.org/officeDocument/2006/relationships/hyperlink" Target="http://www.legislation.gov.uk/ukpga/2002/32/section/175"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www.legislation.gov.uk/ukpga/1989/41" TargetMode="External"/><Relationship Id="rId27" Type="http://schemas.openxmlformats.org/officeDocument/2006/relationships/hyperlink" Target="https://www.gov.uk/government/publications/multi-agency-statutory-guidance-on-female-genital-mutilation" TargetMode="External"/><Relationship Id="rId30" Type="http://schemas.openxmlformats.org/officeDocument/2006/relationships/hyperlink" Target="http://www.legislation.gov.uk/ukpga/2006/47/schedule/4" TargetMode="External"/><Relationship Id="rId35" Type="http://schemas.openxmlformats.org/officeDocument/2006/relationships/hyperlink" Target="https://www.legislation.gov.uk/ukpga/2010/15/contents" TargetMode="External"/><Relationship Id="rId43" Type="http://schemas.openxmlformats.org/officeDocument/2006/relationships/hyperlink" Target="https://www.gov.uk/government/publications/keeping-children-safe-in-education--2" TargetMode="External"/><Relationship Id="rId48" Type="http://schemas.openxmlformats.org/officeDocument/2006/relationships/hyperlink" Target="https://shorespace.org.uk/" TargetMode="External"/><Relationship Id="rId56" Type="http://schemas.openxmlformats.org/officeDocument/2006/relationships/hyperlink" Target="https://www.highfieldceprimaryschool.co.uk/page/?title=Our+Policies&amp;pid=29" TargetMode="External"/><Relationship Id="rId64" Type="http://schemas.openxmlformats.org/officeDocument/2006/relationships/hyperlink" Target="https://www.highfieldceprimaryschool.co.uk/attachments/download.asp?file=1116&amp;type=pdf" TargetMode="External"/><Relationship Id="rId69" Type="http://schemas.openxmlformats.org/officeDocument/2006/relationships/hyperlink" Target="https://www.gov.uk/government/uploads/system/uploads/attachment_data/file/277314/Safeguarding_Children_in_whom_illness_is_fabricated_or_induced.pdf" TargetMode="External"/><Relationship Id="rId77" Type="http://schemas.openxmlformats.org/officeDocument/2006/relationships/hyperlink" Target="https://www.gov.uk/government/publications/young-witness-booklet-for-5-to-11-year-olds" TargetMode="External"/><Relationship Id="rId8" Type="http://schemas.openxmlformats.org/officeDocument/2006/relationships/endnotes" Target="endnotes.xml"/><Relationship Id="rId51" Type="http://schemas.openxmlformats.org/officeDocument/2006/relationships/hyperlink" Target="https://www.csacentre.org.uk/research-resources/practice-resources/helping-education-settings-identify-and-respond-to-concerns/" TargetMode="External"/><Relationship Id="rId72" Type="http://schemas.openxmlformats.org/officeDocument/2006/relationships/hyperlink" Target="https://www.southampton.gov.uk/health-social-care/children/child-social-care/early-help/" TargetMode="External"/><Relationship Id="rId80" Type="http://schemas.openxmlformats.org/officeDocument/2006/relationships/hyperlink" Target="https://www.gov.uk/guidance/check-a-teachers-record" TargetMode="External"/><Relationship Id="rId85" Type="http://schemas.openxmlformats.org/officeDocument/2006/relationships/image" Target="media/image3.png"/><Relationship Id="rId3" Type="http://schemas.openxmlformats.org/officeDocument/2006/relationships/numbering" Target="numbering.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governance-handbook" TargetMode="External"/><Relationship Id="rId25" Type="http://schemas.openxmlformats.org/officeDocument/2006/relationships/hyperlink" Target="http://www.legislation.gov.uk/ukpga/2015/9/part/5/crossheading/female-genital-mutilation" TargetMode="External"/><Relationship Id="rId33" Type="http://schemas.openxmlformats.org/officeDocument/2006/relationships/hyperlink" Target="https://www.echr.coe.int/Pages/home.aspx?p=basictexts&amp;c" TargetMode="External"/><Relationship Id="rId38" Type="http://schemas.openxmlformats.org/officeDocument/2006/relationships/hyperlink" Target="https://www.legislation.gov.uk/uksi/2018/794/contents" TargetMode="External"/><Relationship Id="rId46" Type="http://schemas.openxmlformats.org/officeDocument/2006/relationships/hyperlink" Target="https://www.gov.uk/guidance/meeting-digital-and-technology-standards-in-schools-and-colleges/filtering-and-monitoring-standards-for-schools-and-colleges" TargetMode="External"/><Relationship Id="rId59" Type="http://schemas.openxmlformats.org/officeDocument/2006/relationships/hyperlink" Target="https://www.highfieldceprimaryschool.co.uk/attachments/download.asp?file=1169&amp;type=pdf" TargetMode="External"/><Relationship Id="rId67" Type="http://schemas.openxmlformats.org/officeDocument/2006/relationships/hyperlink" Target="http://www.hampshiresab.org.uk/wp-content/uploads/PAN-Hampshire-HBV-Multi-Agency-Guidance.pdf" TargetMode="External"/><Relationship Id="rId20" Type="http://schemas.openxmlformats.org/officeDocument/2006/relationships/hyperlink" Target="http://www.legislation.gov.uk/ukpga/2002/32/section/175" TargetMode="External"/><Relationship Id="rId41" Type="http://schemas.openxmlformats.org/officeDocument/2006/relationships/hyperlink" Target="https://www.gov.uk/government/publications/early-years-foundation-stage-framework--2" TargetMode="External"/><Relationship Id="rId54" Type="http://schemas.openxmlformats.org/officeDocument/2006/relationships/hyperlink" Target="https://nationalfgmcentre.org.uk/wp-content/uploads/2016/10/Hard-Copy-Map.pdf" TargetMode="External"/><Relationship Id="rId62" Type="http://schemas.openxmlformats.org/officeDocument/2006/relationships/image" Target="media/image2.png"/><Relationship Id="rId70" Type="http://schemas.openxmlformats.org/officeDocument/2006/relationships/hyperlink" Target="https://www.gov.uk/government/uploads/system/uploads/attachment_data/file/277314/Safeguarding_Children_in_whom_illness_is_fabricated_or_induced.pdf" TargetMode="External"/><Relationship Id="rId75" Type="http://schemas.openxmlformats.org/officeDocument/2006/relationships/hyperlink" Target="https://www.gov.uk/government/publications/young-witness-booklet-for-5-to-11-year-olds" TargetMode="External"/><Relationship Id="rId83" Type="http://schemas.openxmlformats.org/officeDocument/2006/relationships/hyperlink" Target="https://www.gov.uk/government/collections/individuals-prohibited-from-managing-or-governing-schools"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www.legislation.gov.uk/ukpga/2004/31/contents" TargetMode="External"/><Relationship Id="rId28" Type="http://schemas.openxmlformats.org/officeDocument/2006/relationships/hyperlink" Target="http://www.legislation.gov.uk/ukpga/1974/53" TargetMode="External"/><Relationship Id="rId36" Type="http://schemas.openxmlformats.org/officeDocument/2006/relationships/hyperlink" Target="https://www.equalityhumanrights.com/guidance/public-sector-equality-duty-psed" TargetMode="External"/><Relationship Id="rId49"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57" Type="http://schemas.openxmlformats.org/officeDocument/2006/relationships/hyperlink" Target="https://www.gov.uk/guidance/meeting-digital-and-technology-standards-in-schools-and-colleges/cyber-security-standards-for-schools-and-colleges" TargetMode="External"/><Relationship Id="rId10" Type="http://schemas.openxmlformats.org/officeDocument/2006/relationships/footer" Target="footer1.xml"/><Relationship Id="rId31" Type="http://schemas.openxmlformats.org/officeDocument/2006/relationships/hyperlink" Target="https://www.gov.uk/government/publications/prevent-duty-guidance" TargetMode="External"/><Relationship Id="rId44" Type="http://schemas.openxmlformats.org/officeDocument/2006/relationships/hyperlink" Target="https://www.gov.uk/government/publications/keeping-children-safe-in-education--2" TargetMode="External"/><Relationship Id="rId52" Type="http://schemas.openxmlformats.org/officeDocument/2006/relationships/hyperlink" Target="https://www.csacentre.org.uk/research-resources/practice-resources/helping-education-settings-identify-and-respond-to-concerns/" TargetMode="External"/><Relationship Id="rId60" Type="http://schemas.openxmlformats.org/officeDocument/2006/relationships/hyperlink" Target="https://www.gov.uk/government/publications/working-together-to-improve-school-attendance" TargetMode="External"/><Relationship Id="rId65" Type="http://schemas.openxmlformats.org/officeDocument/2006/relationships/hyperlink" Target="https://www.highfieldceprimaryschool.co.uk/attachments/download.asp?file=1122&amp;type=pdf" TargetMode="External"/><Relationship Id="rId73" Type="http://schemas.openxmlformats.org/officeDocument/2006/relationships/hyperlink" Target="https://www.gov.uk/government/publications/dealing-with-issues-relating-to-parental-responsibility/understanding-and-dealing-with-issues-relating-to-parental-responsibility" TargetMode="External"/><Relationship Id="rId78" Type="http://schemas.openxmlformats.org/officeDocument/2006/relationships/hyperlink" Target="https://www.gov.uk/government/publications/young-witness-booklet-for-12-to-17-year-olds" TargetMode="External"/><Relationship Id="rId81" Type="http://schemas.openxmlformats.org/officeDocument/2006/relationships/hyperlink" Target="https://www.gov.uk/guidance/making-barring-referrals-to-the-dbs" TargetMode="External"/><Relationship Id="rId86"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OimBgCPRFkGP6D+UQRHDF2Hc/A==">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369F3C4-F8E8-4667-B002-9EAA923C2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27355</Words>
  <Characters>155929</Characters>
  <Application>Microsoft Office Word</Application>
  <DocSecurity>0</DocSecurity>
  <Lines>1299</Lines>
  <Paragraphs>365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 Bagust</dc:creator>
  <cp:lastModifiedBy>Miss Savill</cp:lastModifiedBy>
  <cp:revision>2</cp:revision>
  <dcterms:created xsi:type="dcterms:W3CDTF">2025-09-11T13:25:00Z</dcterms:created>
  <dcterms:modified xsi:type="dcterms:W3CDTF">2025-09-11T13:25:00Z</dcterms:modified>
</cp:coreProperties>
</file>